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63D45" w14:textId="14818D0A" w:rsidR="00C96B24" w:rsidRPr="00BD4A1B" w:rsidRDefault="00C96B24" w:rsidP="00C96B24">
      <w:pPr>
        <w:tabs>
          <w:tab w:val="num" w:pos="360"/>
          <w:tab w:val="num" w:pos="502"/>
        </w:tabs>
        <w:spacing w:after="160" w:line="259" w:lineRule="auto"/>
        <w:ind w:left="360" w:hanging="360"/>
        <w:contextualSpacing/>
        <w:rPr>
          <w:rFonts w:eastAsia="Calibri"/>
          <w:lang w:val="en-US" w:eastAsia="en-US"/>
        </w:rPr>
      </w:pPr>
      <w:bookmarkStart w:id="0" w:name="_GoBack"/>
      <w:bookmarkEnd w:id="0"/>
      <w:r w:rsidRPr="00C96B24">
        <w:rPr>
          <w:rFonts w:eastAsia="Calibri"/>
          <w:sz w:val="28"/>
          <w:szCs w:val="28"/>
          <w:lang w:val="en-US" w:eastAsia="en-US"/>
        </w:rPr>
        <w:t>DRAFT – for the panel on ‘Nordic Cooperation’: Danish Political Science Association</w:t>
      </w:r>
      <w:r w:rsidRPr="00C96B24">
        <w:rPr>
          <w:rFonts w:eastAsia="Calibri"/>
          <w:bCs/>
          <w:sz w:val="28"/>
          <w:szCs w:val="28"/>
          <w:lang w:eastAsia="en-US"/>
        </w:rPr>
        <w:t xml:space="preserve"> 29- 30 November at Hotel Nyborg Strand</w:t>
      </w:r>
      <w:r w:rsidR="00BD4A1B">
        <w:rPr>
          <w:rFonts w:eastAsia="Calibri"/>
          <w:bCs/>
          <w:sz w:val="28"/>
          <w:szCs w:val="28"/>
          <w:lang w:eastAsia="en-US"/>
        </w:rPr>
        <w:t xml:space="preserve"> </w:t>
      </w:r>
      <w:r w:rsidR="00BD4A1B">
        <w:rPr>
          <w:rFonts w:eastAsia="Calibri"/>
          <w:lang w:val="en-US" w:eastAsia="en-US"/>
        </w:rPr>
        <w:t>(</w:t>
      </w:r>
      <w:r w:rsidR="00431DB1">
        <w:rPr>
          <w:rFonts w:eastAsia="Calibri"/>
          <w:lang w:val="en-US" w:eastAsia="en-US"/>
        </w:rPr>
        <w:t>0</w:t>
      </w:r>
      <w:r w:rsidR="0031059B">
        <w:rPr>
          <w:rFonts w:eastAsia="Calibri"/>
          <w:lang w:val="en-US" w:eastAsia="en-US"/>
        </w:rPr>
        <w:t>9</w:t>
      </w:r>
      <w:r w:rsidR="00431DB1">
        <w:rPr>
          <w:rFonts w:eastAsia="Calibri"/>
          <w:lang w:val="en-US" w:eastAsia="en-US"/>
        </w:rPr>
        <w:t xml:space="preserve"> October</w:t>
      </w:r>
      <w:r w:rsidR="00BD4A1B">
        <w:rPr>
          <w:rFonts w:eastAsia="Calibri"/>
          <w:lang w:val="en-US" w:eastAsia="en-US"/>
        </w:rPr>
        <w:t xml:space="preserve"> 2023 version)</w:t>
      </w:r>
    </w:p>
    <w:p w14:paraId="3152BF1E" w14:textId="77777777" w:rsidR="00C96B24" w:rsidRDefault="00C96B24" w:rsidP="00C96B24">
      <w:pPr>
        <w:tabs>
          <w:tab w:val="num" w:pos="360"/>
          <w:tab w:val="num" w:pos="502"/>
        </w:tabs>
        <w:spacing w:after="160" w:line="259" w:lineRule="auto"/>
        <w:ind w:left="360" w:hanging="360"/>
        <w:contextualSpacing/>
        <w:rPr>
          <w:rFonts w:eastAsia="Calibri"/>
          <w:i/>
          <w:lang w:val="en-US" w:eastAsia="en-US"/>
        </w:rPr>
      </w:pPr>
    </w:p>
    <w:p w14:paraId="03DF26D9" w14:textId="7EDE4D91" w:rsidR="00C96B24" w:rsidRPr="00C96B24" w:rsidRDefault="00C96B24" w:rsidP="00C96B24">
      <w:pPr>
        <w:tabs>
          <w:tab w:val="num" w:pos="360"/>
          <w:tab w:val="num" w:pos="502"/>
        </w:tabs>
        <w:spacing w:after="160" w:line="259" w:lineRule="auto"/>
        <w:ind w:left="360" w:hanging="360"/>
        <w:contextualSpacing/>
        <w:rPr>
          <w:rFonts w:eastAsia="Calibri"/>
          <w:i/>
          <w:iCs/>
          <w:lang w:val="en-US" w:eastAsia="en-US"/>
        </w:rPr>
      </w:pPr>
      <w:r>
        <w:rPr>
          <w:rFonts w:eastAsia="Calibri"/>
          <w:i/>
          <w:lang w:val="en-US" w:eastAsia="en-US"/>
        </w:rPr>
        <w:t xml:space="preserve"> </w:t>
      </w:r>
      <w:r w:rsidRPr="00C96B24">
        <w:rPr>
          <w:rFonts w:eastAsia="Calibri"/>
          <w:lang w:val="en-US" w:eastAsia="en-US"/>
        </w:rPr>
        <w:t xml:space="preserve">Book chapter for </w:t>
      </w:r>
      <w:r w:rsidRPr="00C96B24">
        <w:rPr>
          <w:rFonts w:eastAsia="Calibri"/>
          <w:bCs/>
          <w:iCs/>
          <w:lang w:val="en-US" w:eastAsia="en-US"/>
        </w:rPr>
        <w:t>Handbook on Nordic Cooperation</w:t>
      </w:r>
      <w:r>
        <w:rPr>
          <w:rFonts w:eastAsia="Calibri"/>
          <w:bCs/>
          <w:iCs/>
          <w:lang w:val="en-US" w:eastAsia="en-US"/>
        </w:rPr>
        <w:t xml:space="preserve">. </w:t>
      </w:r>
      <w:r w:rsidRPr="00C96B24">
        <w:rPr>
          <w:rFonts w:eastAsia="Calibri"/>
          <w:bCs/>
          <w:i/>
          <w:iCs/>
          <w:lang w:val="en-US" w:eastAsia="en-US"/>
        </w:rPr>
        <w:t>Edward Elgar Publishing</w:t>
      </w:r>
      <w:r>
        <w:rPr>
          <w:rFonts w:eastAsia="Calibri"/>
          <w:bCs/>
          <w:i/>
          <w:iCs/>
          <w:lang w:val="en-US" w:eastAsia="en-US"/>
        </w:rPr>
        <w:t>.</w:t>
      </w:r>
      <w:r w:rsidRPr="00C96B24">
        <w:rPr>
          <w:rFonts w:eastAsia="Calibri"/>
          <w:i/>
          <w:iCs/>
          <w:lang w:val="en-US" w:eastAsia="en-US"/>
        </w:rPr>
        <w:t>Editors: Nina Græger (University of Copenhagen), Ruth Hemstad (National Library/University of Oslo), Peter Nedergaard (University of Copenhagen) and Peter Stadius (University of Helsinki)</w:t>
      </w:r>
    </w:p>
    <w:p w14:paraId="652FBBB0" w14:textId="77777777" w:rsidR="00C96B24" w:rsidRDefault="00C96B24" w:rsidP="00C96B24">
      <w:pPr>
        <w:spacing w:after="160" w:line="252" w:lineRule="auto"/>
        <w:ind w:firstLine="0"/>
        <w:rPr>
          <w:rFonts w:eastAsia="Calibri"/>
          <w:b/>
          <w:i/>
          <w:iCs/>
          <w:sz w:val="36"/>
          <w:szCs w:val="36"/>
          <w:lang w:val="en-US" w:eastAsia="en-US"/>
        </w:rPr>
      </w:pPr>
    </w:p>
    <w:p w14:paraId="5832ABF3" w14:textId="71D04184" w:rsidR="00C96B24" w:rsidRDefault="00033EBB" w:rsidP="00C96B24">
      <w:pPr>
        <w:spacing w:after="160" w:line="252" w:lineRule="auto"/>
        <w:ind w:firstLine="0"/>
        <w:rPr>
          <w:rFonts w:eastAsia="Calibri"/>
          <w:b/>
          <w:i/>
          <w:iCs/>
          <w:sz w:val="36"/>
          <w:szCs w:val="36"/>
          <w:lang w:val="en-US" w:eastAsia="en-US"/>
        </w:rPr>
      </w:pPr>
      <w:r w:rsidRPr="00033EBB">
        <w:rPr>
          <w:rFonts w:eastAsia="Calibri"/>
          <w:b/>
          <w:i/>
          <w:iCs/>
          <w:sz w:val="36"/>
          <w:szCs w:val="36"/>
          <w:lang w:val="en-US" w:eastAsia="en-US"/>
        </w:rPr>
        <w:t xml:space="preserve">Chapter 7. The Impact of the Nordic Council of Ministers: Cases of Policy Learning in the Nordic Council of Ministers </w:t>
      </w:r>
      <w:r w:rsidR="00C96B24">
        <w:rPr>
          <w:rFonts w:eastAsia="Calibri"/>
          <w:b/>
          <w:i/>
          <w:iCs/>
          <w:sz w:val="36"/>
          <w:szCs w:val="36"/>
          <w:lang w:val="en-US" w:eastAsia="en-US"/>
        </w:rPr>
        <w:t xml:space="preserve"> </w:t>
      </w:r>
    </w:p>
    <w:p w14:paraId="3F6E6A84" w14:textId="42DD22C5" w:rsidR="00C96B24" w:rsidRPr="00C96B24" w:rsidRDefault="00C96B24" w:rsidP="00C96B24">
      <w:pPr>
        <w:spacing w:after="160" w:line="252" w:lineRule="auto"/>
        <w:ind w:firstLine="0"/>
        <w:rPr>
          <w:rFonts w:eastAsia="Calibri"/>
          <w:b/>
          <w:iCs/>
          <w:sz w:val="36"/>
          <w:szCs w:val="36"/>
          <w:lang w:val="en-US" w:eastAsia="en-US"/>
        </w:rPr>
      </w:pPr>
      <w:r w:rsidRPr="00C96B24">
        <w:rPr>
          <w:rFonts w:eastAsia="Calibri"/>
          <w:b/>
          <w:i/>
          <w:iCs/>
          <w:sz w:val="36"/>
          <w:szCs w:val="36"/>
          <w:lang w:val="en-US" w:eastAsia="en-US"/>
        </w:rPr>
        <w:t xml:space="preserve">Peter Nedergaard and Trine </w:t>
      </w:r>
      <w:r>
        <w:rPr>
          <w:rFonts w:eastAsia="Calibri"/>
          <w:b/>
          <w:i/>
          <w:iCs/>
          <w:sz w:val="36"/>
          <w:szCs w:val="36"/>
          <w:lang w:val="en-US" w:eastAsia="en-US"/>
        </w:rPr>
        <w:t xml:space="preserve">C. </w:t>
      </w:r>
      <w:r w:rsidRPr="00C96B24">
        <w:rPr>
          <w:rFonts w:eastAsia="Calibri"/>
          <w:b/>
          <w:i/>
          <w:iCs/>
          <w:sz w:val="36"/>
          <w:szCs w:val="36"/>
          <w:lang w:val="en-US" w:eastAsia="en-US"/>
        </w:rPr>
        <w:t xml:space="preserve">Nobel </w:t>
      </w:r>
    </w:p>
    <w:p w14:paraId="40D2568F" w14:textId="770983AB"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430D2112" w14:textId="6813634F" w:rsidR="00C96B24" w:rsidRDefault="00C96B24" w:rsidP="00F47462">
      <w:pPr>
        <w:tabs>
          <w:tab w:val="num" w:pos="360"/>
          <w:tab w:val="num" w:pos="502"/>
        </w:tabs>
        <w:spacing w:after="160" w:line="259" w:lineRule="auto"/>
        <w:ind w:left="360" w:hanging="360"/>
        <w:contextualSpacing/>
        <w:rPr>
          <w:rFonts w:eastAsia="Calibri"/>
          <w:lang w:val="en-US" w:eastAsia="en-US"/>
        </w:rPr>
      </w:pPr>
      <w:r>
        <w:rPr>
          <w:rFonts w:eastAsia="Calibri"/>
          <w:lang w:val="en-US" w:eastAsia="en-US"/>
        </w:rPr>
        <w:t xml:space="preserve">Peter Nedergaard: </w:t>
      </w:r>
      <w:hyperlink r:id="rId8" w:history="1">
        <w:r w:rsidRPr="00C96B24">
          <w:rPr>
            <w:rStyle w:val="Hyperlink"/>
            <w:rFonts w:eastAsia="Calibri"/>
            <w:b/>
            <w:i/>
            <w:iCs/>
            <w:lang w:val="en-US" w:eastAsia="en-US"/>
          </w:rPr>
          <w:t>pne@ifs.ku.dk</w:t>
        </w:r>
      </w:hyperlink>
      <w:r w:rsidRPr="00C96B24">
        <w:rPr>
          <w:rFonts w:eastAsia="Calibri"/>
          <w:b/>
          <w:i/>
          <w:iCs/>
          <w:lang w:val="en-US" w:eastAsia="en-US"/>
        </w:rPr>
        <w:t xml:space="preserve"> </w:t>
      </w:r>
      <w:r w:rsidR="007459B6">
        <w:rPr>
          <w:rFonts w:eastAsia="Calibri"/>
          <w:b/>
          <w:i/>
          <w:iCs/>
          <w:lang w:val="en-US" w:eastAsia="en-US"/>
        </w:rPr>
        <w:t xml:space="preserve">Department of Political Science, </w:t>
      </w:r>
      <w:r w:rsidRPr="00C96B24">
        <w:rPr>
          <w:rFonts w:eastAsia="Calibri"/>
          <w:b/>
          <w:i/>
          <w:iCs/>
          <w:lang w:val="en-US" w:eastAsia="en-US"/>
        </w:rPr>
        <w:t>University of Copenhagen</w:t>
      </w:r>
    </w:p>
    <w:p w14:paraId="7599076B" w14:textId="349A6DD4"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23742A85" w14:textId="28793590" w:rsidR="00C96B24" w:rsidRDefault="007459B6" w:rsidP="00F47462">
      <w:pPr>
        <w:tabs>
          <w:tab w:val="num" w:pos="360"/>
          <w:tab w:val="num" w:pos="502"/>
        </w:tabs>
        <w:spacing w:after="160" w:line="259" w:lineRule="auto"/>
        <w:ind w:left="360" w:hanging="360"/>
        <w:contextualSpacing/>
        <w:rPr>
          <w:rFonts w:eastAsia="Calibri"/>
          <w:lang w:val="en-US" w:eastAsia="en-US"/>
        </w:rPr>
      </w:pPr>
      <w:r>
        <w:rPr>
          <w:rFonts w:eastAsia="Calibri"/>
          <w:lang w:val="en-US" w:eastAsia="en-US"/>
        </w:rPr>
        <w:t xml:space="preserve">Trine C. Nobel: </w:t>
      </w:r>
      <w:hyperlink r:id="rId9" w:history="1">
        <w:r w:rsidRPr="007459B6">
          <w:rPr>
            <w:rStyle w:val="Hyperlink"/>
            <w:rFonts w:eastAsia="Calibri"/>
            <w:b/>
            <w:i/>
            <w:iCs/>
            <w:lang w:eastAsia="en-US"/>
          </w:rPr>
          <w:t>nobel@ruc.dk</w:t>
        </w:r>
      </w:hyperlink>
      <w:r>
        <w:rPr>
          <w:rFonts w:eastAsia="Calibri"/>
          <w:b/>
          <w:i/>
          <w:iCs/>
          <w:lang w:val="en-US" w:eastAsia="en-US"/>
        </w:rPr>
        <w:t xml:space="preserve">, </w:t>
      </w:r>
      <w:r w:rsidRPr="007459B6">
        <w:rPr>
          <w:rFonts w:eastAsia="Calibri"/>
          <w:b/>
          <w:i/>
          <w:iCs/>
          <w:lang w:val="en-US" w:eastAsia="en-US"/>
        </w:rPr>
        <w:t>Department of Social Sciences and Business, University of Roskilde</w:t>
      </w:r>
    </w:p>
    <w:p w14:paraId="2DAA1171" w14:textId="4CB836F6"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522153B5" w14:textId="701E0994"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6DEF7C14" w14:textId="46B0EFCA" w:rsidR="00033EBB" w:rsidRPr="00033EBB" w:rsidRDefault="00033EBB" w:rsidP="00033EBB">
      <w:pPr>
        <w:spacing w:after="160" w:line="256" w:lineRule="auto"/>
        <w:ind w:firstLine="0"/>
        <w:rPr>
          <w:rFonts w:ascii="Calibri" w:eastAsia="Calibri" w:hAnsi="Calibri"/>
          <w:sz w:val="22"/>
          <w:szCs w:val="22"/>
          <w:lang w:val="en-US" w:eastAsia="en-US"/>
        </w:rPr>
      </w:pPr>
      <w:r w:rsidRPr="00033EBB">
        <w:rPr>
          <w:rFonts w:ascii="Calibri" w:eastAsia="Calibri" w:hAnsi="Calibri"/>
          <w:b/>
          <w:bCs/>
          <w:sz w:val="22"/>
          <w:szCs w:val="22"/>
          <w:lang w:val="en-US" w:eastAsia="en-US"/>
        </w:rPr>
        <w:t>Abstract:</w:t>
      </w:r>
      <w:r w:rsidRPr="00033EBB">
        <w:rPr>
          <w:rFonts w:ascii="Calibri" w:eastAsia="Calibri" w:hAnsi="Calibri"/>
          <w:sz w:val="22"/>
          <w:szCs w:val="22"/>
          <w:lang w:val="en-US" w:eastAsia="en-US"/>
        </w:rPr>
        <w:t> </w:t>
      </w:r>
      <w:r w:rsidRPr="00033EBB">
        <w:rPr>
          <w:rFonts w:eastAsia="Calibri"/>
          <w:lang w:val="en-US" w:eastAsia="en-US"/>
        </w:rPr>
        <w:t xml:space="preserve">Institutionalised </w:t>
      </w:r>
      <w:r w:rsidRPr="00033EBB">
        <w:rPr>
          <w:rFonts w:eastAsia="Calibri"/>
          <w:lang w:eastAsia="en-US"/>
        </w:rPr>
        <w:t>policy learning among the Nordic countries</w:t>
      </w:r>
      <w:r>
        <w:rPr>
          <w:rFonts w:eastAsia="Calibri"/>
          <w:lang w:eastAsia="en-US"/>
        </w:rPr>
        <w:t xml:space="preserve"> </w:t>
      </w:r>
      <w:r w:rsidRPr="00033EBB">
        <w:rPr>
          <w:rFonts w:eastAsia="Calibri"/>
          <w:lang w:eastAsia="en-US"/>
        </w:rPr>
        <w:t xml:space="preserve">has been around for more than 50 years. This chapter analyses the </w:t>
      </w:r>
      <w:r w:rsidR="002919B0">
        <w:rPr>
          <w:rFonts w:eastAsia="Calibri"/>
          <w:lang w:eastAsia="en-US"/>
        </w:rPr>
        <w:t xml:space="preserve">Nordic Council of Ministers and its role in the </w:t>
      </w:r>
      <w:r w:rsidRPr="00033EBB">
        <w:rPr>
          <w:rFonts w:eastAsia="Calibri"/>
          <w:lang w:eastAsia="en-US"/>
        </w:rPr>
        <w:t xml:space="preserve">process as well as the output of policy learning among Nordic countries on adult education in networks. The most important results are that the policy learning process is characterised by so-called epistemic and reflexive learning modes dominated by cooperation, inputs from science and dialogue. The output from the policy learning networks </w:t>
      </w:r>
      <w:r w:rsidR="002919B0">
        <w:rPr>
          <w:rFonts w:eastAsia="Calibri"/>
          <w:lang w:eastAsia="en-US"/>
        </w:rPr>
        <w:t xml:space="preserve">of the Nordic Council of Ministers </w:t>
      </w:r>
      <w:r w:rsidRPr="00033EBB">
        <w:rPr>
          <w:rFonts w:eastAsia="Calibri"/>
          <w:lang w:eastAsia="en-US"/>
        </w:rPr>
        <w:t>mainly consists of combining elements from other Nordic countries that are frontrunners in the relevant policy area. The output of Nordic policy learning is certainly much more than just being inspired by practices in Nordic countries. The results from the analysed networks can be generalised to other Nordic networks, but to a lesser extent to international policy learning networks where ‘value consensus’ is not as pronounced.</w:t>
      </w:r>
    </w:p>
    <w:p w14:paraId="17780687" w14:textId="6320F0B2" w:rsidR="00033EBB" w:rsidRPr="00033EBB" w:rsidRDefault="00033EBB" w:rsidP="00033EBB">
      <w:pPr>
        <w:spacing w:after="160" w:line="256" w:lineRule="auto"/>
        <w:ind w:firstLine="0"/>
        <w:rPr>
          <w:rFonts w:ascii="Calibri" w:eastAsia="Calibri" w:hAnsi="Calibri"/>
          <w:sz w:val="22"/>
          <w:szCs w:val="22"/>
          <w:lang w:val="en-US" w:eastAsia="en-US"/>
        </w:rPr>
      </w:pPr>
      <w:r w:rsidRPr="00033EBB">
        <w:rPr>
          <w:rFonts w:ascii="Calibri" w:eastAsia="Calibri" w:hAnsi="Calibri"/>
          <w:b/>
          <w:bCs/>
          <w:sz w:val="22"/>
          <w:szCs w:val="22"/>
          <w:lang w:val="en-US" w:eastAsia="en-US"/>
        </w:rPr>
        <w:t>Keywords:</w:t>
      </w:r>
      <w:r w:rsidRPr="00033EBB">
        <w:rPr>
          <w:rFonts w:ascii="Calibri" w:eastAsia="Calibri" w:hAnsi="Calibri"/>
          <w:sz w:val="22"/>
          <w:szCs w:val="22"/>
          <w:lang w:val="en-US" w:eastAsia="en-US"/>
        </w:rPr>
        <w:t> </w:t>
      </w:r>
      <w:r>
        <w:rPr>
          <w:rFonts w:ascii="Calibri" w:eastAsia="Calibri" w:hAnsi="Calibri"/>
          <w:sz w:val="22"/>
          <w:szCs w:val="22"/>
          <w:lang w:val="en-US" w:eastAsia="en-US"/>
        </w:rPr>
        <w:t xml:space="preserve">NORDIC COUNCIL OF MINISTERS; POLICY LEARNING, ADULT EDUCATION, </w:t>
      </w:r>
      <w:r w:rsidR="0085198F">
        <w:rPr>
          <w:rFonts w:ascii="Calibri" w:eastAsia="Calibri" w:hAnsi="Calibri"/>
          <w:sz w:val="22"/>
          <w:szCs w:val="22"/>
          <w:lang w:val="en-US" w:eastAsia="en-US"/>
        </w:rPr>
        <w:t>MODES OF POLICY LEARNING, OUTPUT OF POLICY LEARNING</w:t>
      </w:r>
    </w:p>
    <w:p w14:paraId="65694D1B" w14:textId="551BD4E5" w:rsidR="0085198F" w:rsidRPr="0085198F" w:rsidRDefault="00033EBB" w:rsidP="0085198F">
      <w:pPr>
        <w:tabs>
          <w:tab w:val="num" w:pos="720"/>
        </w:tabs>
        <w:spacing w:after="160" w:line="256" w:lineRule="auto"/>
        <w:ind w:firstLine="0"/>
        <w:rPr>
          <w:rFonts w:ascii="Calibri" w:eastAsia="Calibri" w:hAnsi="Calibri"/>
          <w:sz w:val="22"/>
          <w:szCs w:val="22"/>
          <w:lang w:val="en-US" w:eastAsia="en-US"/>
        </w:rPr>
      </w:pPr>
      <w:r w:rsidRPr="00033EBB">
        <w:rPr>
          <w:rFonts w:ascii="Calibri" w:eastAsia="Calibri" w:hAnsi="Calibri"/>
          <w:b/>
          <w:bCs/>
          <w:sz w:val="22"/>
          <w:szCs w:val="22"/>
          <w:lang w:val="en-US" w:eastAsia="en-US"/>
        </w:rPr>
        <w:t>Author ORCID</w:t>
      </w:r>
      <w:r w:rsidR="0085198F">
        <w:rPr>
          <w:rFonts w:ascii="Calibri" w:eastAsia="Calibri" w:hAnsi="Calibri"/>
          <w:b/>
          <w:bCs/>
          <w:sz w:val="22"/>
          <w:szCs w:val="22"/>
          <w:lang w:val="en-US" w:eastAsia="en-US"/>
        </w:rPr>
        <w:t xml:space="preserve">: Peter Nedergaard: </w:t>
      </w:r>
      <w:hyperlink r:id="rId10" w:tgtFrame="_blank" w:history="1">
        <w:r w:rsidR="0085198F" w:rsidRPr="0085198F">
          <w:rPr>
            <w:rStyle w:val="Hyperlink"/>
            <w:rFonts w:ascii="Calibri" w:eastAsia="Calibri" w:hAnsi="Calibri"/>
            <w:sz w:val="22"/>
            <w:szCs w:val="22"/>
            <w:lang w:val="en-US" w:eastAsia="en-US"/>
          </w:rPr>
          <w:t>orcid.org/0000-0001-5363-3301</w:t>
        </w:r>
      </w:hyperlink>
    </w:p>
    <w:p w14:paraId="4B625E96" w14:textId="52EF5C41"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43B3155C" w14:textId="6039CD53"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2486DDAB" w14:textId="0A9F02C0"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1139316E" w14:textId="407A73F5"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34BF4663" w14:textId="611DB393"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4B7EE911" w14:textId="6C79A70A"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120A1C61" w14:textId="2D63A32F"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627809DB" w14:textId="0CD0B011"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3CFF289C" w14:textId="49032ECD" w:rsidR="00C96B24" w:rsidRDefault="00C96B24" w:rsidP="00F47462">
      <w:pPr>
        <w:tabs>
          <w:tab w:val="num" w:pos="360"/>
          <w:tab w:val="num" w:pos="502"/>
        </w:tabs>
        <w:spacing w:after="160" w:line="259" w:lineRule="auto"/>
        <w:ind w:left="360" w:hanging="360"/>
        <w:contextualSpacing/>
        <w:rPr>
          <w:rFonts w:eastAsia="Calibri"/>
          <w:lang w:val="en-US" w:eastAsia="en-US"/>
        </w:rPr>
      </w:pPr>
    </w:p>
    <w:p w14:paraId="019D5BF2" w14:textId="5ED09264" w:rsidR="00F47462" w:rsidRPr="00BA540B" w:rsidRDefault="00C96B24" w:rsidP="00F47462">
      <w:pPr>
        <w:tabs>
          <w:tab w:val="num" w:pos="360"/>
          <w:tab w:val="num" w:pos="502"/>
        </w:tabs>
        <w:spacing w:after="160" w:line="259" w:lineRule="auto"/>
        <w:ind w:left="360" w:hanging="360"/>
        <w:contextualSpacing/>
        <w:rPr>
          <w:b/>
          <w:sz w:val="36"/>
          <w:szCs w:val="36"/>
          <w:lang w:val="en-US" w:eastAsia="en-US"/>
        </w:rPr>
      </w:pPr>
      <w:r>
        <w:rPr>
          <w:rFonts w:eastAsia="Calibri"/>
          <w:b/>
          <w:sz w:val="36"/>
          <w:szCs w:val="36"/>
          <w:lang w:val="en-US" w:eastAsia="en-US"/>
        </w:rPr>
        <w:lastRenderedPageBreak/>
        <w:t xml:space="preserve">Chapter 7. </w:t>
      </w:r>
      <w:r w:rsidR="00F47462" w:rsidRPr="00BA540B">
        <w:rPr>
          <w:rFonts w:eastAsia="Calibri"/>
          <w:b/>
          <w:sz w:val="36"/>
          <w:szCs w:val="36"/>
          <w:lang w:val="en-US" w:eastAsia="en-US"/>
        </w:rPr>
        <w:t>The Impact of the Nordic Council of Ministers: Cases of Policy Learning in t</w:t>
      </w:r>
      <w:r w:rsidR="004A76FB" w:rsidRPr="00BA540B">
        <w:rPr>
          <w:rFonts w:eastAsia="Calibri"/>
          <w:b/>
          <w:sz w:val="36"/>
          <w:szCs w:val="36"/>
          <w:lang w:val="en-US" w:eastAsia="en-US"/>
        </w:rPr>
        <w:t>he Nordic Council of Ministers</w:t>
      </w:r>
      <w:r w:rsidR="00BA540B" w:rsidRPr="00BA540B">
        <w:rPr>
          <w:rStyle w:val="EndnoteReference"/>
          <w:rFonts w:eastAsia="Calibri"/>
          <w:sz w:val="36"/>
          <w:szCs w:val="36"/>
          <w:lang w:val="en-US" w:eastAsia="en-US"/>
        </w:rPr>
        <w:endnoteReference w:id="1"/>
      </w:r>
    </w:p>
    <w:p w14:paraId="15501598" w14:textId="3D35D073" w:rsidR="00CA4D1D" w:rsidRPr="003F32C6" w:rsidRDefault="00FC6AB8" w:rsidP="00A718C4">
      <w:pPr>
        <w:pStyle w:val="Heading1"/>
      </w:pPr>
      <w:r w:rsidRPr="003F32C6">
        <w:t>Introduction</w:t>
      </w:r>
      <w:r w:rsidR="005F4DBE">
        <w:rPr>
          <w:rStyle w:val="EndnoteReference"/>
        </w:rPr>
        <w:endnoteReference w:id="2"/>
      </w:r>
    </w:p>
    <w:p w14:paraId="097CDD3B" w14:textId="3AA76573" w:rsidR="00E5161D" w:rsidRDefault="00C137AA" w:rsidP="00A718C4">
      <w:pPr>
        <w:spacing w:line="360" w:lineRule="auto"/>
      </w:pPr>
      <w:r w:rsidRPr="009E4242">
        <w:t xml:space="preserve">One factor that has often been overlooked in regard </w:t>
      </w:r>
      <w:r w:rsidR="00EA4950">
        <w:t xml:space="preserve">to Nordic countries </w:t>
      </w:r>
      <w:r w:rsidR="003972F0">
        <w:t>concerns</w:t>
      </w:r>
      <w:r w:rsidRPr="009E4242">
        <w:t xml:space="preserve"> </w:t>
      </w:r>
      <w:r w:rsidR="009C4B51">
        <w:t xml:space="preserve">the </w:t>
      </w:r>
      <w:r w:rsidRPr="009E4242">
        <w:t>decades of cooperation among the</w:t>
      </w:r>
      <w:r w:rsidR="00C61A28">
        <w:t xml:space="preserve">m, </w:t>
      </w:r>
      <w:r w:rsidRPr="009E4242">
        <w:t>and as a true subset of this</w:t>
      </w:r>
      <w:r w:rsidR="009C4B51">
        <w:t xml:space="preserve">, </w:t>
      </w:r>
      <w:r w:rsidRPr="009E4242">
        <w:t xml:space="preserve">the ongoing and intensive policy learning among </w:t>
      </w:r>
      <w:r w:rsidR="009C4B51">
        <w:t>them</w:t>
      </w:r>
      <w:r w:rsidRPr="009E4242">
        <w:t xml:space="preserve"> under the auspices of the Nordic Council of Ministers since 1971. This phenomenon has very seldom undergone scholarly treatment</w:t>
      </w:r>
      <w:r w:rsidR="00774F22">
        <w:t xml:space="preserve"> </w:t>
      </w:r>
      <w:r w:rsidR="00774F22">
        <w:fldChar w:fldCharType="begin"/>
      </w:r>
      <w:r w:rsidR="00814D4A">
        <w:instrText xml:space="preserve"> ADDIN ZOTERO_ITEM CSL_CITATION {"citationID":"VuA0pnSk","properties":{"formattedCitation":"(Nedergaard, 2009)","plainCitation":"(Nedergaard, 2009)","noteIndex":0},"citationItems":[{"id":"zNBeDsLk/tZRESHcW","uris":["http://www.mendeley.com/documents/?uuid=4d5dba6e-81f4-4a05-aedf-46ffacfa773a"],"uri":["http://www.mendeley.com/documents/?uuid=4d5dba6e-81f4-4a05-aedf-46ffacfa773a"],"itemData":{"DOI":"10.1080/14719030802490011","ISSN":"1471-9037","abstract":"Abstract In spite of their long history and extensive activities, the international committees of the Nordic Council of Ministers (NCM) have not hitherto been subject to scholarly examination. This article analyses for the first time policy learning among civil servants and experts in this international organization. Using the Advocacy Coalition Framework as the starting point, a number of exploratory hypotheses on policy learning in the NCM committees are tested. The aim is to investigate the processes of policy learning between countries in international committees, a subject which has hitherto only been dealt with in very few studies. In this analysis, a methodology for measuring policy learning is also proposed. Among other things, it is concluded that policy learning in these international committees increases when they avoid fragmentation into coalitions, are open to public opinion, when participants in committees are driven by a sense of purpose rather that material interest, when empirical data are made available to committees, when a neutral presidency is present in order to act as an authoritative persuader, and when neutral experts participate, although not experts from consultancy firms.","author":[{"dropping-particle":"","family":"Nedergaard","given":"Peter","non-dropping-particle":"","parse-names":false,"suffix":""}],"container-title":"Public Management Review","id":"zNBeDsLk/tZRESHcW","issue":"1","issued":{"date-parts":[["2009"]]},"page":"23-37","publisher":"Routledge","title":"Policy Learning Processes in International Committees: The case of the civil servant committees of the Nordic Council of Ministers","type":"article-journal","volume":"11"}}],"schema":"https://github.com/citation-style-language/schema/raw/master/csl-citation.json"} </w:instrText>
      </w:r>
      <w:r w:rsidR="00774F22">
        <w:fldChar w:fldCharType="separate"/>
      </w:r>
      <w:r w:rsidR="00814D4A">
        <w:rPr>
          <w:noProof/>
        </w:rPr>
        <w:t>(Nedergaard, 2009)</w:t>
      </w:r>
      <w:r w:rsidR="00774F22">
        <w:fldChar w:fldCharType="end"/>
      </w:r>
      <w:r w:rsidR="001B3056">
        <w:t xml:space="preserve"> whereas policy learning in the European Union is </w:t>
      </w:r>
      <w:r w:rsidR="00EA4950">
        <w:t xml:space="preserve">more </w:t>
      </w:r>
      <w:r w:rsidR="001B3056">
        <w:t>intensively studied</w:t>
      </w:r>
      <w:r w:rsidR="00627860">
        <w:t xml:space="preserve"> </w:t>
      </w:r>
      <w:r w:rsidR="00814D4A">
        <w:fldChar w:fldCharType="begin"/>
      </w:r>
      <w:r w:rsidR="00814D4A">
        <w:instrText xml:space="preserve"> ADDIN ZOTERO_ITEM CSL_CITATION {"citationID":"l4HifSVO","properties":{"formattedCitation":"(e.g. Lange &amp; Alexiadou, 2010)","plainCitation":"(e.g. Lange &amp; Alexiadou, 2010)","noteIndex":0},"citationItems":[{"id":757,"uris":["http://zotero.org/users/7744878/items/NS97QVKS"],"uri":["http://zotero.org/users/7744878/items/NS97QVKS"],"itemData":{"id":757,"type":"article-journal","abstract":"Open methods for coordinating (OMC) education policies in the EU rely on a number of techniques, one of which is policy learning. This article examines how policy learning and governance transform each other. More specifically, policy‐learning in the education OMC becomes differentiated into four distinct learning styles: mutual, competitive, surface and imperialistic learning. While they overlap with some forms of policy learning discussed in the literature, they are also different by focusing upon interactions and political dynamics between the European Commission and the member states. In seeking to understand how governing through learning occurs, we argue that any ‘impact’ of EU‐level policy‐learning is co‐constructed by both the European Commission and the member states. The analysis of this article is grounded in a discourse analytical and institutionalist perspective. It draws on qualitative data derived from semi‐structured interviews with officials from the Directorate General for Education and Culture in the European Commission and on EU documents generated during policy‐learning activities.","container-title":"Journal of Education Policy","DOI":"10.1080/02680931003782819","journalAbbreviation":"Journal of Education Policy","page":"443-463","source":"ResearchGate","title":"Policy learning and governance of education policy in the EU","volume":"25","author":[{"family":"Lange","given":"Bettina"},{"family":"Alexiadou","given":"Nafsika"}],"issued":{"date-parts":[["2010",7,1]]}},"prefix":"e.g. "}],"schema":"https://github.com/citation-style-language/schema/raw/master/csl-citation.json"} </w:instrText>
      </w:r>
      <w:r w:rsidR="00814D4A">
        <w:fldChar w:fldCharType="separate"/>
      </w:r>
      <w:r w:rsidR="00814D4A">
        <w:rPr>
          <w:noProof/>
        </w:rPr>
        <w:t>(e.g. Lange &amp; Alexiadou, 2010</w:t>
      </w:r>
      <w:r w:rsidR="00EA4950">
        <w:rPr>
          <w:noProof/>
        </w:rPr>
        <w:t>; Goyal &amp; Howlett, 2018</w:t>
      </w:r>
      <w:r w:rsidR="00814D4A">
        <w:rPr>
          <w:noProof/>
        </w:rPr>
        <w:t>)</w:t>
      </w:r>
      <w:r w:rsidR="00814D4A">
        <w:fldChar w:fldCharType="end"/>
      </w:r>
      <w:r w:rsidR="001B3056">
        <w:t>.</w:t>
      </w:r>
      <w:r w:rsidR="007902BC">
        <w:t xml:space="preserve"> This is the raison d’etre for this chapter.</w:t>
      </w:r>
    </w:p>
    <w:p w14:paraId="5BC2E440" w14:textId="2D08D54B" w:rsidR="005F4DBE" w:rsidRDefault="00BA540B" w:rsidP="00A718C4">
      <w:pPr>
        <w:spacing w:line="360" w:lineRule="auto"/>
      </w:pPr>
      <w:r>
        <w:t xml:space="preserve">This chapter is </w:t>
      </w:r>
      <w:r w:rsidR="00C137AA" w:rsidRPr="003F32C6">
        <w:t>based on a collection of data via documents</w:t>
      </w:r>
      <w:r w:rsidR="009C4B51" w:rsidRPr="003F32C6">
        <w:t>,</w:t>
      </w:r>
      <w:r w:rsidR="00B7370B" w:rsidRPr="003F32C6">
        <w:t xml:space="preserve"> </w:t>
      </w:r>
      <w:r w:rsidR="00C61A28">
        <w:t>and</w:t>
      </w:r>
      <w:r w:rsidR="00326D02" w:rsidRPr="003F32C6">
        <w:t xml:space="preserve"> </w:t>
      </w:r>
      <w:r w:rsidR="001B3056" w:rsidRPr="003F32C6">
        <w:t xml:space="preserve">10 </w:t>
      </w:r>
      <w:r w:rsidR="00326D02" w:rsidRPr="003F32C6">
        <w:t>in-depth</w:t>
      </w:r>
      <w:r w:rsidR="00B7370B" w:rsidRPr="003F32C6">
        <w:t xml:space="preserve"> </w:t>
      </w:r>
      <w:r w:rsidR="00C137AA" w:rsidRPr="003F32C6">
        <w:t>interviews</w:t>
      </w:r>
      <w:r w:rsidR="00B7370B" w:rsidRPr="003F32C6">
        <w:t xml:space="preserve"> </w:t>
      </w:r>
      <w:r w:rsidR="00C137AA" w:rsidRPr="003F32C6">
        <w:t xml:space="preserve">designed </w:t>
      </w:r>
      <w:r w:rsidR="00C4566E" w:rsidRPr="003F32C6">
        <w:t>on</w:t>
      </w:r>
      <w:r w:rsidR="00C137AA" w:rsidRPr="003F32C6">
        <w:t xml:space="preserve"> the international policy learning literature.</w:t>
      </w:r>
      <w:r w:rsidR="003F51A1" w:rsidRPr="003F32C6">
        <w:t xml:space="preserve"> </w:t>
      </w:r>
      <w:r w:rsidR="00EA4950">
        <w:t>The primary data consists of interviews conducted over a two</w:t>
      </w:r>
      <w:r w:rsidR="00C61A28">
        <w:t>-</w:t>
      </w:r>
      <w:r w:rsidR="00EA4950">
        <w:t>year period</w:t>
      </w:r>
      <w:r w:rsidR="00B5765D">
        <w:t xml:space="preserve"> with a specific policy-learning network. However, we claim that the findings here – at least to a certain extent – can be generalised to all policy learning networks of the Nordic Council of Ministers. </w:t>
      </w:r>
      <w:r w:rsidR="007902BC">
        <w:t>The reason is, a</w:t>
      </w:r>
      <w:r w:rsidR="00B5765D">
        <w:t xml:space="preserve">ccording to our sources in the organisation, </w:t>
      </w:r>
      <w:r w:rsidR="007902BC">
        <w:t xml:space="preserve">that </w:t>
      </w:r>
      <w:r w:rsidR="00B5765D">
        <w:t>the chosen network is ‘typical’ for other networks in the Nordic Council of Ministers</w:t>
      </w:r>
      <w:r w:rsidR="00EA4950">
        <w:t xml:space="preserve">. </w:t>
      </w:r>
    </w:p>
    <w:p w14:paraId="4AB48566" w14:textId="13EB0239" w:rsidR="00EA4950" w:rsidRPr="003F32C6" w:rsidRDefault="00C137AA" w:rsidP="00B5765D">
      <w:pPr>
        <w:spacing w:line="360" w:lineRule="auto"/>
      </w:pPr>
      <w:r w:rsidRPr="003F32C6">
        <w:t xml:space="preserve">The case of policy learning we have chosen for further investigation is adult learning </w:t>
      </w:r>
      <w:r w:rsidR="009C4B51" w:rsidRPr="003F32C6">
        <w:t xml:space="preserve">as </w:t>
      </w:r>
      <w:r w:rsidRPr="003F32C6">
        <w:t xml:space="preserve">organised in the network of Nordic Adult Learning – or </w:t>
      </w:r>
      <w:r w:rsidR="00AF35D7" w:rsidRPr="003F32C6">
        <w:t>in one of the Nordic languages: ‘</w:t>
      </w:r>
      <w:r w:rsidRPr="003F32C6">
        <w:t>N</w:t>
      </w:r>
      <w:r w:rsidR="007902BC">
        <w:t>etværk for Voksnes Læring</w:t>
      </w:r>
      <w:r w:rsidR="00AF35D7" w:rsidRPr="003F32C6">
        <w:t>’</w:t>
      </w:r>
      <w:r w:rsidRPr="003F32C6">
        <w:t xml:space="preserve"> (NVL)</w:t>
      </w:r>
      <w:r w:rsidR="001B3056" w:rsidRPr="003F32C6">
        <w:t xml:space="preserve"> as part of the </w:t>
      </w:r>
      <w:r w:rsidR="005F4DBE">
        <w:t xml:space="preserve">cooperation in the </w:t>
      </w:r>
      <w:r w:rsidR="001B3056" w:rsidRPr="003F32C6">
        <w:t>Nordic Council of Ministers</w:t>
      </w:r>
      <w:r w:rsidRPr="003F32C6">
        <w:t xml:space="preserve">. We will use NVL as the acronym </w:t>
      </w:r>
      <w:r w:rsidR="00AF35D7" w:rsidRPr="003F32C6">
        <w:t xml:space="preserve">for this network </w:t>
      </w:r>
      <w:r w:rsidRPr="003F32C6">
        <w:t>throughout the article</w:t>
      </w:r>
      <w:r w:rsidR="0085043B" w:rsidRPr="003F32C6">
        <w:t>.</w:t>
      </w:r>
      <w:r w:rsidRPr="003F32C6">
        <w:t xml:space="preserve"> </w:t>
      </w:r>
    </w:p>
    <w:p w14:paraId="25F92176" w14:textId="1D2B094D" w:rsidR="00737DC7" w:rsidRDefault="00C137AA" w:rsidP="00A718C4">
      <w:pPr>
        <w:spacing w:line="360" w:lineRule="auto"/>
      </w:pPr>
      <w:r w:rsidRPr="009E4242">
        <w:t xml:space="preserve">The aim of the </w:t>
      </w:r>
      <w:r w:rsidR="00B5765D">
        <w:t>chapter</w:t>
      </w:r>
      <w:r w:rsidRPr="009E4242">
        <w:t xml:space="preserve"> is to uncover what policy </w:t>
      </w:r>
      <w:r w:rsidR="009C4B51">
        <w:t>l</w:t>
      </w:r>
      <w:r w:rsidRPr="009E4242">
        <w:t xml:space="preserve">earning is </w:t>
      </w:r>
      <w:r w:rsidR="00B94E78" w:rsidRPr="009E4242">
        <w:t>taking place</w:t>
      </w:r>
      <w:r w:rsidRPr="009E4242">
        <w:t xml:space="preserve"> behind th</w:t>
      </w:r>
      <w:r w:rsidR="00952669">
        <w:t>e NVL</w:t>
      </w:r>
      <w:r w:rsidR="00FE049E">
        <w:t xml:space="preserve">. </w:t>
      </w:r>
      <w:r w:rsidR="00AD23D2">
        <w:t>We want to find out w</w:t>
      </w:r>
      <w:r w:rsidRPr="009E4242">
        <w:t xml:space="preserve">hat </w:t>
      </w:r>
      <w:r w:rsidR="00F8114F">
        <w:t>characterise</w:t>
      </w:r>
      <w:r w:rsidR="00FE049E">
        <w:t>s</w:t>
      </w:r>
      <w:r w:rsidR="00EA4950">
        <w:t xml:space="preserve"> the process of policy learning of </w:t>
      </w:r>
      <w:r w:rsidR="00213EBE">
        <w:t>NVL</w:t>
      </w:r>
      <w:r w:rsidR="00952669">
        <w:t>?</w:t>
      </w:r>
      <w:r w:rsidRPr="009E4242">
        <w:t xml:space="preserve"> </w:t>
      </w:r>
      <w:r w:rsidR="00AD23D2">
        <w:t>And w</w:t>
      </w:r>
      <w:r w:rsidR="00AF35D7">
        <w:t xml:space="preserve">hat </w:t>
      </w:r>
      <w:r w:rsidR="00EA4950">
        <w:t>are the output</w:t>
      </w:r>
      <w:r w:rsidR="00FE049E">
        <w:t>s</w:t>
      </w:r>
      <w:r w:rsidR="00EA4950">
        <w:t xml:space="preserve"> of </w:t>
      </w:r>
      <w:r w:rsidR="00AF35D7">
        <w:t>the policy learning of NVL</w:t>
      </w:r>
      <w:r w:rsidR="00952669">
        <w:t xml:space="preserve"> as </w:t>
      </w:r>
      <w:r w:rsidR="00F8114F">
        <w:t xml:space="preserve">perceived by </w:t>
      </w:r>
      <w:r w:rsidR="00392F3F">
        <w:t>its</w:t>
      </w:r>
      <w:r w:rsidR="00952669">
        <w:t xml:space="preserve"> participants</w:t>
      </w:r>
      <w:r w:rsidR="00AF35D7">
        <w:t xml:space="preserve">? </w:t>
      </w:r>
      <w:r w:rsidR="00737DC7">
        <w:t xml:space="preserve">As such, we wish to contribute with </w:t>
      </w:r>
      <w:r w:rsidR="00B7370B">
        <w:t xml:space="preserve">an </w:t>
      </w:r>
      <w:r w:rsidR="001B3056">
        <w:t xml:space="preserve">understanding of </w:t>
      </w:r>
      <w:r w:rsidR="00BD4D8B">
        <w:t xml:space="preserve">an example of </w:t>
      </w:r>
      <w:r w:rsidR="00737DC7">
        <w:t xml:space="preserve">the layout of </w:t>
      </w:r>
      <w:r w:rsidR="00BD4D8B">
        <w:t xml:space="preserve">a seemingly </w:t>
      </w:r>
      <w:r w:rsidR="001B3056">
        <w:t xml:space="preserve">efficient </w:t>
      </w:r>
      <w:r w:rsidR="00737DC7">
        <w:t xml:space="preserve">policy learning </w:t>
      </w:r>
      <w:r w:rsidR="005F4DBE">
        <w:t>forum</w:t>
      </w:r>
      <w:r w:rsidR="00426A4D">
        <w:t>,</w:t>
      </w:r>
      <w:r w:rsidR="005F4DBE">
        <w:t xml:space="preserve"> </w:t>
      </w:r>
      <w:r w:rsidR="00D96710">
        <w:t xml:space="preserve">as well as </w:t>
      </w:r>
      <w:r w:rsidR="00B7370B">
        <w:t xml:space="preserve">of </w:t>
      </w:r>
      <w:r w:rsidR="001B3056">
        <w:t xml:space="preserve">the </w:t>
      </w:r>
      <w:r w:rsidR="00B7370B">
        <w:t xml:space="preserve">output </w:t>
      </w:r>
      <w:r w:rsidR="00D96710">
        <w:t xml:space="preserve">of policy learning </w:t>
      </w:r>
      <w:r w:rsidR="00B7370B">
        <w:t>taking place</w:t>
      </w:r>
      <w:r w:rsidR="005F4DBE">
        <w:t xml:space="preserve"> </w:t>
      </w:r>
      <w:r w:rsidR="00426A4D">
        <w:t>t</w:t>
      </w:r>
      <w:r w:rsidR="005F4DBE">
        <w:t>herein</w:t>
      </w:r>
      <w:r w:rsidR="001B3056">
        <w:t xml:space="preserve">. We will limit the analysis to </w:t>
      </w:r>
      <w:r w:rsidR="00530C30">
        <w:t xml:space="preserve">the imagined output by the participants, i.e. </w:t>
      </w:r>
      <w:r w:rsidR="00745FCA">
        <w:t>we</w:t>
      </w:r>
      <w:r w:rsidR="00530C30">
        <w:t xml:space="preserve"> do not analyse whether or not the result of the Nordic policy learning processes is implemented or not. </w:t>
      </w:r>
      <w:r w:rsidR="007902BC">
        <w:t xml:space="preserve">We admit that this is a critical point of the chapter, </w:t>
      </w:r>
      <w:r w:rsidR="002919B0">
        <w:t xml:space="preserve">however, </w:t>
      </w:r>
      <w:r w:rsidR="007902BC">
        <w:t>the format of this book forces us to choose this angle.</w:t>
      </w:r>
    </w:p>
    <w:p w14:paraId="762DF967" w14:textId="22891FFF" w:rsidR="00AF35D7" w:rsidRDefault="00AF35D7" w:rsidP="00A718C4">
      <w:pPr>
        <w:spacing w:line="360" w:lineRule="auto"/>
      </w:pPr>
      <w:r>
        <w:t>After section</w:t>
      </w:r>
      <w:r w:rsidR="009C4B51">
        <w:t>s</w:t>
      </w:r>
      <w:r>
        <w:t xml:space="preserve"> on </w:t>
      </w:r>
      <w:r w:rsidR="00FF3E8B">
        <w:t>the Nordic Council of Ministers</w:t>
      </w:r>
      <w:r w:rsidR="00D97F80">
        <w:t>,</w:t>
      </w:r>
      <w:r w:rsidR="00FF3E8B">
        <w:t xml:space="preserve"> </w:t>
      </w:r>
      <w:r>
        <w:t>the theor</w:t>
      </w:r>
      <w:r w:rsidR="00B7370B">
        <w:t>ies</w:t>
      </w:r>
      <w:r>
        <w:t xml:space="preserve"> </w:t>
      </w:r>
      <w:r w:rsidR="007902BC">
        <w:t xml:space="preserve">and concepts </w:t>
      </w:r>
      <w:r>
        <w:t xml:space="preserve">of policy learning and on the research </w:t>
      </w:r>
      <w:r w:rsidR="00BD4D8B">
        <w:t>methodology</w:t>
      </w:r>
      <w:r>
        <w:t xml:space="preserve"> of the </w:t>
      </w:r>
      <w:r w:rsidR="007902BC">
        <w:t>chapter</w:t>
      </w:r>
      <w:r>
        <w:t xml:space="preserve">, </w:t>
      </w:r>
      <w:r w:rsidR="00B7370B">
        <w:t xml:space="preserve">we </w:t>
      </w:r>
      <w:r w:rsidR="001F2BEE">
        <w:t xml:space="preserve">present and </w:t>
      </w:r>
      <w:r w:rsidR="00B7370B">
        <w:t xml:space="preserve">analyse </w:t>
      </w:r>
      <w:r w:rsidR="00346F8F">
        <w:t xml:space="preserve">the </w:t>
      </w:r>
      <w:r w:rsidR="005F4DBE">
        <w:t>sectorial</w:t>
      </w:r>
      <w:r w:rsidR="00346F8F">
        <w:t xml:space="preserve"> network of NVL. </w:t>
      </w:r>
      <w:r w:rsidR="001B3056">
        <w:t>We split t</w:t>
      </w:r>
      <w:r w:rsidR="00346F8F">
        <w:t>he analysis</w:t>
      </w:r>
      <w:r>
        <w:t xml:space="preserve"> in</w:t>
      </w:r>
      <w:r w:rsidR="009C4B51">
        <w:t>to</w:t>
      </w:r>
      <w:r>
        <w:t xml:space="preserve"> two parts </w:t>
      </w:r>
      <w:r w:rsidR="009C4B51">
        <w:t xml:space="preserve">for </w:t>
      </w:r>
      <w:r>
        <w:t xml:space="preserve">answering the two research questions </w:t>
      </w:r>
      <w:r w:rsidR="00E0745C">
        <w:t xml:space="preserve">outlined </w:t>
      </w:r>
      <w:r>
        <w:t xml:space="preserve">above. </w:t>
      </w:r>
    </w:p>
    <w:p w14:paraId="4875266F" w14:textId="77777777" w:rsidR="00DC2647" w:rsidRDefault="00DC2647" w:rsidP="00A718C4">
      <w:pPr>
        <w:spacing w:line="360" w:lineRule="auto"/>
      </w:pPr>
    </w:p>
    <w:p w14:paraId="4873DCFA" w14:textId="77777777" w:rsidR="00836AC0" w:rsidRDefault="00836AC0" w:rsidP="00324A6F">
      <w:pPr>
        <w:spacing w:line="360" w:lineRule="auto"/>
        <w:ind w:firstLine="0"/>
        <w:rPr>
          <w:b/>
          <w:bCs/>
          <w:lang w:val="en-US"/>
        </w:rPr>
      </w:pPr>
      <w:r>
        <w:rPr>
          <w:b/>
          <w:bCs/>
          <w:lang w:val="en-US"/>
        </w:rPr>
        <w:lastRenderedPageBreak/>
        <w:t>The Nordic Council of Ministers</w:t>
      </w:r>
    </w:p>
    <w:p w14:paraId="57F61B6B" w14:textId="77777777" w:rsidR="00324A6F" w:rsidRPr="00F84DC0" w:rsidRDefault="00324A6F" w:rsidP="00A45EC7">
      <w:pPr>
        <w:spacing w:line="360" w:lineRule="auto"/>
        <w:ind w:firstLine="0"/>
        <w:rPr>
          <w:b/>
          <w:bCs/>
          <w:lang w:val="en-US"/>
        </w:rPr>
      </w:pPr>
    </w:p>
    <w:p w14:paraId="1FF12EA6" w14:textId="5DD57121" w:rsidR="00836AC0" w:rsidRDefault="00836AC0" w:rsidP="00A45EC7">
      <w:pPr>
        <w:spacing w:line="360" w:lineRule="auto"/>
        <w:ind w:firstLine="0"/>
        <w:rPr>
          <w:lang w:val="en-US"/>
        </w:rPr>
      </w:pPr>
      <w:r>
        <w:rPr>
          <w:lang w:val="en-US"/>
        </w:rPr>
        <w:t xml:space="preserve">Before we address </w:t>
      </w:r>
      <w:r w:rsidR="002919B0">
        <w:rPr>
          <w:lang w:val="en-US"/>
        </w:rPr>
        <w:t xml:space="preserve">the </w:t>
      </w:r>
      <w:r>
        <w:rPr>
          <w:lang w:val="en-US"/>
        </w:rPr>
        <w:t>practical example of Nordic cooperation resulting from the Nordic Council of Ministers in the shape of NVL</w:t>
      </w:r>
      <w:r w:rsidR="002919B0">
        <w:rPr>
          <w:lang w:val="en-US"/>
        </w:rPr>
        <w:t>,</w:t>
      </w:r>
      <w:r>
        <w:rPr>
          <w:lang w:val="en-US"/>
        </w:rPr>
        <w:t xml:space="preserve"> we brief</w:t>
      </w:r>
      <w:r w:rsidR="002919B0">
        <w:rPr>
          <w:lang w:val="en-US"/>
        </w:rPr>
        <w:t>ly introduce</w:t>
      </w:r>
      <w:r>
        <w:rPr>
          <w:lang w:val="en-US"/>
        </w:rPr>
        <w:t xml:space="preserve"> the structure of the Nordic Council of Ministers</w:t>
      </w:r>
      <w:r w:rsidR="002919B0">
        <w:rPr>
          <w:lang w:val="en-US"/>
        </w:rPr>
        <w:t xml:space="preserve"> (chapter 8 will elaborate on the history of the Nordic Council of Ministers)</w:t>
      </w:r>
      <w:r>
        <w:rPr>
          <w:lang w:val="en-US"/>
        </w:rPr>
        <w:t>.</w:t>
      </w:r>
    </w:p>
    <w:p w14:paraId="23827BD5" w14:textId="66CD68A2" w:rsidR="002919B0" w:rsidRDefault="00836AC0" w:rsidP="00324A6F">
      <w:pPr>
        <w:spacing w:line="360" w:lineRule="auto"/>
        <w:rPr>
          <w:lang w:val="en-US"/>
        </w:rPr>
      </w:pPr>
      <w:r w:rsidRPr="007E3C59">
        <w:rPr>
          <w:lang w:val="en-US"/>
        </w:rPr>
        <w:t>The Nordic Council of M</w:t>
      </w:r>
      <w:r>
        <w:rPr>
          <w:lang w:val="en-US"/>
        </w:rPr>
        <w:t>inisters is one of the institutional pillars of Nordic cooperation while the Nordic Council is the other</w:t>
      </w:r>
      <w:r w:rsidR="002919B0">
        <w:rPr>
          <w:lang w:val="en-US"/>
        </w:rPr>
        <w:t xml:space="preserve"> (see chapter 6 for an thorough analysis of the Nordic Council)</w:t>
      </w:r>
      <w:r>
        <w:rPr>
          <w:lang w:val="en-US"/>
        </w:rPr>
        <w:t>. The Nordic Council is an interparliamentary platform which was established by Iceland, Denmark, Norway and Sweden in 1952</w:t>
      </w:r>
      <w:r w:rsidR="002919B0">
        <w:rPr>
          <w:lang w:val="en-US"/>
        </w:rPr>
        <w:t xml:space="preserve">. </w:t>
      </w:r>
    </w:p>
    <w:p w14:paraId="2DD198AA" w14:textId="143B078A" w:rsidR="00836AC0" w:rsidRDefault="00836AC0" w:rsidP="00324A6F">
      <w:pPr>
        <w:spacing w:line="360" w:lineRule="auto"/>
        <w:rPr>
          <w:lang w:val="en-US"/>
        </w:rPr>
      </w:pPr>
      <w:r>
        <w:rPr>
          <w:lang w:val="en-US"/>
        </w:rPr>
        <w:t xml:space="preserve"> In defiance of the interparliamentary feature of the Nordic Council, the council also gave room for government representatives to take part in committee meetings though they had no right to vote (Etzold, 2020, p. 12; Wendt, 1973, p. 6). The cooperation at government level mainly took place within international cooperation committees or commissions such as the Nordic Economic Co-operation Committee or the Nordic Social Affairs Committee (Drzewicki, 1980, p. 341; Wendt, 1973, p. 16). In continuation of that, Etzold (2020, p. 12) points out that the Nordic cooperation among the governments in this period up to 1971 were “sidelined, weak and uncoordinated”, because the main Nordic cooperative focus was at the parliamentary level. </w:t>
      </w:r>
    </w:p>
    <w:p w14:paraId="5CDA7651" w14:textId="60BD2A31" w:rsidR="00836AC0" w:rsidRDefault="00836AC0" w:rsidP="00324A6F">
      <w:pPr>
        <w:spacing w:line="360" w:lineRule="auto"/>
        <w:rPr>
          <w:lang w:val="en-US"/>
        </w:rPr>
      </w:pPr>
      <w:r>
        <w:rPr>
          <w:lang w:val="en-US"/>
        </w:rPr>
        <w:t xml:space="preserve">The way cooperation functioned at government level changed with the revision of the </w:t>
      </w:r>
      <w:r w:rsidR="002919B0">
        <w:rPr>
          <w:lang w:val="en-US"/>
        </w:rPr>
        <w:t xml:space="preserve">so-called </w:t>
      </w:r>
      <w:r>
        <w:rPr>
          <w:lang w:val="en-US"/>
        </w:rPr>
        <w:t>Helsinki Treaty in 1971 whe</w:t>
      </w:r>
      <w:r w:rsidR="002919B0">
        <w:rPr>
          <w:lang w:val="en-US"/>
        </w:rPr>
        <w:t>n</w:t>
      </w:r>
      <w:r>
        <w:rPr>
          <w:lang w:val="en-US"/>
        </w:rPr>
        <w:t xml:space="preserve"> the Nordic Council of Ministers was created. In the years up till the revision of the Treaty the span of cooperation had developed and the failure of the attempt to strengthen the Nordic cooperation further in form the Nordic Economic Union (Nordek) </w:t>
      </w:r>
      <w:r w:rsidR="002919B0">
        <w:rPr>
          <w:lang w:val="en-US"/>
        </w:rPr>
        <w:t xml:space="preserve">pushed in direction of </w:t>
      </w:r>
      <w:r>
        <w:rPr>
          <w:lang w:val="en-US"/>
        </w:rPr>
        <w:t xml:space="preserve">a stronger and more permanent cooperative Nordic institution </w:t>
      </w:r>
      <w:r w:rsidR="002919B0">
        <w:rPr>
          <w:lang w:val="en-US"/>
        </w:rPr>
        <w:t xml:space="preserve">for Nordic governments </w:t>
      </w:r>
      <w:r>
        <w:rPr>
          <w:lang w:val="en-US"/>
        </w:rPr>
        <w:t xml:space="preserve">(Wendt, 1973, p. 3; Eztold, 2020, p. 12). It was in the light of this, the Prime Ministers of Sweden, Denmark, Norway, Finland and Iceland 13 February 1971 signed the update of the Treaty with the intention to structure and strengthen the Nordic cooperation by, among other things, creating the Nordic Council of Ministers. </w:t>
      </w:r>
    </w:p>
    <w:p w14:paraId="43F9E2FC" w14:textId="6632176C" w:rsidR="00836AC0" w:rsidRDefault="00836AC0" w:rsidP="00324A6F">
      <w:pPr>
        <w:spacing w:line="360" w:lineRule="auto"/>
        <w:rPr>
          <w:lang w:val="en-US"/>
        </w:rPr>
      </w:pPr>
      <w:r>
        <w:rPr>
          <w:lang w:val="en-US"/>
        </w:rPr>
        <w:t xml:space="preserve">The creation of the Nordic Council of Ministers changed the overall landscape of the Nordic cooperation. The Nordic Council became a solely interparliamentary organ that should watch </w:t>
      </w:r>
      <w:r w:rsidR="00D86F0A">
        <w:rPr>
          <w:lang w:val="en-US"/>
        </w:rPr>
        <w:t>over the</w:t>
      </w:r>
      <w:r>
        <w:rPr>
          <w:lang w:val="en-US"/>
        </w:rPr>
        <w:t xml:space="preserve"> Nordic Council of Ministers work while having close discussions with the very same and thus preserving the relationship between the two councils (Eztold, 2020, p. 12). The Nordic Council of Ministers took charge of the tasks that previously belonged to committees (Wendt, 1973, p. 19). </w:t>
      </w:r>
    </w:p>
    <w:p w14:paraId="6485A40D" w14:textId="33A5488F" w:rsidR="00836AC0" w:rsidRDefault="00836AC0" w:rsidP="00324A6F">
      <w:pPr>
        <w:spacing w:line="360" w:lineRule="auto"/>
        <w:rPr>
          <w:lang w:val="en-US"/>
        </w:rPr>
      </w:pPr>
      <w:r>
        <w:rPr>
          <w:lang w:val="en-US"/>
        </w:rPr>
        <w:t xml:space="preserve">The Nordic Council of Ministers has, opposite the Nordic Council, the ability to make binding agreements that come into force for the individual countries. The production of binding agreements is yet dependent on unanimity and that each country is represented if the question concerns all countries (Wendt, 1973, p. 18). If one country is represented, but refrains from voting, an official decision can still be made. </w:t>
      </w:r>
    </w:p>
    <w:p w14:paraId="75F38400" w14:textId="15424C21" w:rsidR="00836AC0" w:rsidRDefault="00836AC0" w:rsidP="00324A6F">
      <w:pPr>
        <w:spacing w:line="360" w:lineRule="auto"/>
        <w:rPr>
          <w:lang w:val="en-US"/>
        </w:rPr>
      </w:pPr>
      <w:r>
        <w:rPr>
          <w:lang w:val="en-US"/>
        </w:rPr>
        <w:t>In the tender beginning of the Nordic Council of Ministers, the council was not formally divided into several councils in charge of a specific department as it is today. It was the question of discussion that determined which ministers from the governments that represented their country which rendered the possibility of several meetings taking place at the same time (Wendt, 1973, p. 19). Today</w:t>
      </w:r>
      <w:r w:rsidR="00D86F0A">
        <w:rPr>
          <w:lang w:val="en-US"/>
        </w:rPr>
        <w:t>,</w:t>
      </w:r>
      <w:r>
        <w:rPr>
          <w:lang w:val="en-US"/>
        </w:rPr>
        <w:t xml:space="preserve"> the </w:t>
      </w:r>
      <w:r w:rsidR="00D86F0A">
        <w:rPr>
          <w:lang w:val="en-US"/>
        </w:rPr>
        <w:t xml:space="preserve">Nordic </w:t>
      </w:r>
      <w:r>
        <w:rPr>
          <w:lang w:val="en-US"/>
        </w:rPr>
        <w:t xml:space="preserve">Council </w:t>
      </w:r>
      <w:r w:rsidR="00D86F0A">
        <w:rPr>
          <w:lang w:val="en-US"/>
        </w:rPr>
        <w:t xml:space="preserve">of Ministers </w:t>
      </w:r>
      <w:r>
        <w:rPr>
          <w:lang w:val="en-US"/>
        </w:rPr>
        <w:t>is comprised of eleven regular Councils in charge of a specific department, and the Council of Ministers of Cooperation which is sort of a 12</w:t>
      </w:r>
      <w:r w:rsidRPr="00676880">
        <w:rPr>
          <w:vertAlign w:val="superscript"/>
          <w:lang w:val="en-US"/>
        </w:rPr>
        <w:t>th</w:t>
      </w:r>
      <w:r>
        <w:rPr>
          <w:lang w:val="en-US"/>
        </w:rPr>
        <w:t xml:space="preserve"> </w:t>
      </w:r>
      <w:r w:rsidR="00D86F0A">
        <w:rPr>
          <w:lang w:val="en-US"/>
        </w:rPr>
        <w:t>C</w:t>
      </w:r>
      <w:r>
        <w:rPr>
          <w:lang w:val="en-US"/>
        </w:rPr>
        <w:t xml:space="preserve">ouncil that has the overall responsibility for the Nordic cooperation (Wendt, 1973, p. 20; Etzold, 2020, p. 13). The number of different councils have varied over time. For instance, in the beginning of the 2000’s there were 18 ministerial councils (Eztold, 2020, p. 14). </w:t>
      </w:r>
    </w:p>
    <w:p w14:paraId="1A1BE8D1" w14:textId="00776FDB" w:rsidR="00836AC0" w:rsidRDefault="00836AC0" w:rsidP="00324A6F">
      <w:pPr>
        <w:spacing w:line="360" w:lineRule="auto"/>
        <w:rPr>
          <w:lang w:val="en-US"/>
        </w:rPr>
      </w:pPr>
      <w:r>
        <w:rPr>
          <w:lang w:val="en-US"/>
        </w:rPr>
        <w:t xml:space="preserve">Formally, the Nordic Prime Ministers carries the responsibility for the Nordic governmental cooperation, but in practice it is the ministers of </w:t>
      </w:r>
      <w:r w:rsidR="00D86F0A">
        <w:rPr>
          <w:lang w:val="en-US"/>
        </w:rPr>
        <w:t xml:space="preserve">Nordic </w:t>
      </w:r>
      <w:r>
        <w:rPr>
          <w:lang w:val="en-US"/>
        </w:rPr>
        <w:t xml:space="preserve">cooperation in each country that through the Council of Ministers of Cooperation handle this task (Nordisk </w:t>
      </w:r>
      <w:r w:rsidR="00943A08">
        <w:rPr>
          <w:lang w:val="en-US"/>
        </w:rPr>
        <w:t>S</w:t>
      </w:r>
      <w:r>
        <w:rPr>
          <w:lang w:val="en-US"/>
        </w:rPr>
        <w:t xml:space="preserve">amarbejde, n.d.h; Wendt, 1973, p. 20). Every year, the presidency of the Nordic Council of Ministers rotates between the government leaders that are holding office. With the presidency follows a right to sketch and prioritize what issues that should be on the carpet the following year and on the annual meeting between the government leaders (Eztold, 2020, p. 13). </w:t>
      </w:r>
    </w:p>
    <w:p w14:paraId="3BBF544C" w14:textId="1FB844EA" w:rsidR="00836AC0" w:rsidRPr="007B7E40" w:rsidRDefault="00836AC0" w:rsidP="00324A6F">
      <w:pPr>
        <w:spacing w:line="360" w:lineRule="auto"/>
        <w:rPr>
          <w:lang w:val="en-US"/>
        </w:rPr>
      </w:pPr>
      <w:r>
        <w:rPr>
          <w:lang w:val="en-US"/>
        </w:rPr>
        <w:t>Parallel to the Council of Ministers of Cooperation there is a Nordic Committee of Cooperation comprised of high-level civil servants from the countries’ state administrations. This committee takes care of the coordination given that the government leaders and ministers do</w:t>
      </w:r>
      <w:r w:rsidR="00D86F0A">
        <w:rPr>
          <w:lang w:val="en-US"/>
        </w:rPr>
        <w:t xml:space="preserve"> not</w:t>
      </w:r>
      <w:r>
        <w:rPr>
          <w:lang w:val="en-US"/>
        </w:rPr>
        <w:t xml:space="preserve"> meet so often. Furthermore, they constitute the board of the Nordic Council of Ministers secretariat in Copenhagen (Nordisk </w:t>
      </w:r>
      <w:r w:rsidR="00943A08">
        <w:rPr>
          <w:lang w:val="en-US"/>
        </w:rPr>
        <w:t>S</w:t>
      </w:r>
      <w:r>
        <w:rPr>
          <w:lang w:val="en-US"/>
        </w:rPr>
        <w:t xml:space="preserve">amarbejde, n.d.g; Eztold, 2020, p. 13). </w:t>
      </w:r>
    </w:p>
    <w:p w14:paraId="3611AE31" w14:textId="700CADC0" w:rsidR="00836AC0" w:rsidRDefault="00836AC0" w:rsidP="00324A6F">
      <w:pPr>
        <w:spacing w:line="360" w:lineRule="auto"/>
        <w:rPr>
          <w:lang w:val="en-US"/>
        </w:rPr>
      </w:pPr>
      <w:r>
        <w:rPr>
          <w:lang w:val="en-US"/>
        </w:rPr>
        <w:t xml:space="preserve">The purpose of the Nordic Council of Ministers </w:t>
      </w:r>
      <w:r w:rsidRPr="0028207B">
        <w:rPr>
          <w:lang w:val="en-US"/>
        </w:rPr>
        <w:t>i</w:t>
      </w:r>
      <w:r>
        <w:rPr>
          <w:lang w:val="en-US"/>
        </w:rPr>
        <w:t>s to</w:t>
      </w:r>
      <w:r w:rsidRPr="0028207B">
        <w:rPr>
          <w:lang w:val="en-US"/>
        </w:rPr>
        <w:t xml:space="preserve"> enhance collaboration on everything from social policy and economic policy to education policy. The task of ministers meeting in the Nordic Council of Ministers is both to fund projects of common interests and to enhance mutual policy learning in all the areas involved (Nedergaard</w:t>
      </w:r>
      <w:r>
        <w:rPr>
          <w:lang w:val="en-US"/>
        </w:rPr>
        <w:t>,</w:t>
      </w:r>
      <w:r w:rsidRPr="0028207B">
        <w:rPr>
          <w:lang w:val="en-US"/>
        </w:rPr>
        <w:t xml:space="preserve"> 2009). </w:t>
      </w:r>
      <w:r>
        <w:rPr>
          <w:lang w:val="en-US"/>
        </w:rPr>
        <w:t xml:space="preserve">Traditionally, the areas with the highest degree of cooperation and attention from the </w:t>
      </w:r>
      <w:r w:rsidR="00D86F0A">
        <w:rPr>
          <w:lang w:val="en-US"/>
        </w:rPr>
        <w:t>Nordic C</w:t>
      </w:r>
      <w:r>
        <w:rPr>
          <w:lang w:val="en-US"/>
        </w:rPr>
        <w:t xml:space="preserve">ouncil </w:t>
      </w:r>
      <w:r w:rsidR="00D86F0A">
        <w:rPr>
          <w:lang w:val="en-US"/>
        </w:rPr>
        <w:t>of Ministers in</w:t>
      </w:r>
      <w:r>
        <w:rPr>
          <w:lang w:val="en-US"/>
        </w:rPr>
        <w:t xml:space="preserve"> education, environment, culture, labo</w:t>
      </w:r>
      <w:r w:rsidR="00D86F0A">
        <w:rPr>
          <w:lang w:val="en-US"/>
        </w:rPr>
        <w:t>u</w:t>
      </w:r>
      <w:r>
        <w:rPr>
          <w:lang w:val="en-US"/>
        </w:rPr>
        <w:t xml:space="preserve">r market </w:t>
      </w:r>
      <w:r w:rsidR="00D86F0A">
        <w:rPr>
          <w:lang w:val="en-US"/>
        </w:rPr>
        <w:t xml:space="preserve">issues </w:t>
      </w:r>
      <w:r>
        <w:rPr>
          <w:lang w:val="en-US"/>
        </w:rPr>
        <w:t xml:space="preserve">and social policy (Eztold, 2020, p. 12; Waldemarson, 2017, p. 24). </w:t>
      </w:r>
    </w:p>
    <w:p w14:paraId="5F546BAF" w14:textId="77777777" w:rsidR="00836AC0" w:rsidRDefault="00836AC0" w:rsidP="00324A6F">
      <w:pPr>
        <w:spacing w:line="360" w:lineRule="auto"/>
        <w:rPr>
          <w:lang w:val="en-US"/>
        </w:rPr>
      </w:pPr>
      <w:r>
        <w:rPr>
          <w:lang w:val="en-US"/>
        </w:rPr>
        <w:t xml:space="preserve">One of the rules in Nordic Council of Ministers regarding cooperation is that it </w:t>
      </w:r>
      <w:r w:rsidRPr="00FE20B1">
        <w:rPr>
          <w:lang w:val="en-US"/>
        </w:rPr>
        <w:t>“never goes further than the interests of each country permit</w:t>
      </w:r>
      <w:r>
        <w:rPr>
          <w:lang w:val="en-US"/>
        </w:rPr>
        <w:t xml:space="preserve">” (Eztold, 2020, p. 12). This rule may explain why policy areas such as defense, foreign, security and close economic policy have had little collaborative attention and success. However, these matters are included in discussions but not in the same institutionalized way as the previous mentioned subjects (Waldemarson, 2017, p. 24; Eztold; 2020, p. 12). </w:t>
      </w:r>
    </w:p>
    <w:p w14:paraId="44B40944" w14:textId="771B5A3D" w:rsidR="00836AC0" w:rsidRDefault="00D86F0A" w:rsidP="00324A6F">
      <w:pPr>
        <w:spacing w:line="360" w:lineRule="auto"/>
        <w:rPr>
          <w:lang w:val="en-US"/>
        </w:rPr>
      </w:pPr>
      <w:r>
        <w:rPr>
          <w:lang w:val="en-US"/>
        </w:rPr>
        <w:t>As mentioned above, t</w:t>
      </w:r>
      <w:r w:rsidR="00836AC0">
        <w:rPr>
          <w:lang w:val="en-US"/>
        </w:rPr>
        <w:t xml:space="preserve">he Nordic Council of Ministers consists of several </w:t>
      </w:r>
      <w:r>
        <w:rPr>
          <w:lang w:val="en-US"/>
        </w:rPr>
        <w:t xml:space="preserve">ministerial </w:t>
      </w:r>
      <w:r w:rsidR="00836AC0">
        <w:rPr>
          <w:lang w:val="en-US"/>
        </w:rPr>
        <w:t xml:space="preserve">councils that have varying scopes and extents which result in different ramifications such as institutions, groups, committees, networks, projects, organizations and collaborators. Yet, all the councils have at least one civil servant committee to assist them. The Nordic Council of Ministers fund and monitor in total approximately 12 </w:t>
      </w:r>
      <w:r>
        <w:rPr>
          <w:lang w:val="en-US"/>
        </w:rPr>
        <w:t xml:space="preserve">Nordic </w:t>
      </w:r>
      <w:r w:rsidR="00836AC0">
        <w:rPr>
          <w:lang w:val="en-US"/>
        </w:rPr>
        <w:t xml:space="preserve">institutions of different kind (Nordisk Samarbejde, n.d.a). Some examples of these are Nordic Innovation, Nordic Energy Research (NEF), Nordic Generessourcecenter (NordGen) and several cultural institutions such as “Nordens Hus” (Nordisk Samarbejde, n.d.b,c,d,e). </w:t>
      </w:r>
      <w:r w:rsidR="006F2CBA">
        <w:rPr>
          <w:lang w:val="en-US"/>
        </w:rPr>
        <w:t xml:space="preserve">Below the ministerial level, there is a parallel structure of civil servant committees, and these committees set up and supervise all the networks, working groups, etc. of the Nordic Council of Ministers.  </w:t>
      </w:r>
      <w:r w:rsidR="00836AC0">
        <w:rPr>
          <w:lang w:val="en-US"/>
        </w:rPr>
        <w:t xml:space="preserve"> </w:t>
      </w:r>
    </w:p>
    <w:p w14:paraId="49D456BC" w14:textId="77777777" w:rsidR="00836AC0" w:rsidRPr="00127CF2" w:rsidRDefault="00836AC0" w:rsidP="00324A6F">
      <w:pPr>
        <w:spacing w:line="360" w:lineRule="auto"/>
        <w:rPr>
          <w:lang w:val="en-US"/>
        </w:rPr>
      </w:pPr>
      <w:r>
        <w:rPr>
          <w:lang w:val="en-US"/>
        </w:rPr>
        <w:t xml:space="preserve">The Nordic networks can vary in structure, subject and size. The network groups in the Nordic Council of Sustainable Growth are comprised of national civil servants, while the Nordic Network of dementia or the Nordic Network of Adult Learning are comprised of experts of different kind. Furthermore, the network of dementia consists of 3 theme networks, while NVL consists of at least 8 subnetworks (Nordisk Samarbejde, n.d.b; Nordens Velfærdscenter, n.d.; Nordic Network for Adult Learning, 2021b). </w:t>
      </w:r>
      <w:r w:rsidRPr="00127CF2">
        <w:rPr>
          <w:lang w:val="en-US"/>
        </w:rPr>
        <w:t xml:space="preserve"> </w:t>
      </w:r>
    </w:p>
    <w:p w14:paraId="72104CC0" w14:textId="77777777" w:rsidR="00836AC0" w:rsidRDefault="00836AC0" w:rsidP="00324A6F">
      <w:pPr>
        <w:spacing w:line="360" w:lineRule="auto"/>
        <w:rPr>
          <w:lang w:val="en-US"/>
        </w:rPr>
      </w:pPr>
      <w:r>
        <w:rPr>
          <w:lang w:val="en-US"/>
        </w:rPr>
        <w:t xml:space="preserve">The Nordic Council of Ministers has been criticized for inter alia shutting down Nordic networks and institutions. Furthermore, the informal contact between civil servants and politicians from different countries is decreasing according to evidence (Strang, 2012, p. 76-79). In Strang’s book (2012) with proposals on how to strengthen the Nordic cooperation ordered by the Nordic Council, the need for and importance of networks is emphasized in regard to enhance and preserve Nordic cooperation. Networks are both important in creating Nordic communities, getting more experts involved and strengthening the Nordic cooperation in the area of defense and foreign policy (Strang, 2012, p. 8, 28, 39). In the light of this, it is therefore a significant responsibility and impact that lies with the Nordic Council of Ministers since it is the council that funds and initiates different kinds of networks and maybe lay the foundation stones for more informal contacts that otherwise is out of the councils hands.   </w:t>
      </w:r>
    </w:p>
    <w:p w14:paraId="765D5583" w14:textId="20B15A90" w:rsidR="00836AC0" w:rsidRDefault="00836AC0" w:rsidP="00324A6F">
      <w:pPr>
        <w:spacing w:line="360" w:lineRule="auto"/>
        <w:rPr>
          <w:lang w:val="en-US"/>
        </w:rPr>
      </w:pPr>
      <w:r>
        <w:rPr>
          <w:lang w:val="en-US"/>
        </w:rPr>
        <w:t>Clearly, the Nordic Council of Ministers funds and initiates many different undertakings to better the Nordic Cooperation and plays a significant role for the very same. Later in the chapter, we will look closer at the practical unfolding of one type of Nordic Cooperation by zooming in on of the use of one of the networks in the Nordic Councils of Ministers. The Nordic network for adult leaning (NVL) will via interviews and the theory of policy learning be examined focusing on how NVL facilitate policy learning.</w:t>
      </w:r>
      <w:r w:rsidR="00943A08">
        <w:rPr>
          <w:lang w:val="en-US"/>
        </w:rPr>
        <w:t xml:space="preserve"> </w:t>
      </w:r>
    </w:p>
    <w:p w14:paraId="42770021" w14:textId="77777777" w:rsidR="00DC2647" w:rsidRPr="006F2CBA" w:rsidRDefault="00DC2647" w:rsidP="00A718C4">
      <w:pPr>
        <w:spacing w:line="360" w:lineRule="auto"/>
        <w:rPr>
          <w:lang w:val="en-US"/>
        </w:rPr>
      </w:pPr>
    </w:p>
    <w:p w14:paraId="67BF8B7A" w14:textId="0ED31DCC" w:rsidR="00DF7EF3" w:rsidRPr="009E4242" w:rsidRDefault="00DF7EF3" w:rsidP="00A718C4">
      <w:pPr>
        <w:pStyle w:val="Heading1"/>
      </w:pPr>
      <w:r w:rsidRPr="009E4242">
        <w:t>What is policy learning</w:t>
      </w:r>
      <w:r w:rsidR="00AF35D7">
        <w:t>?</w:t>
      </w:r>
    </w:p>
    <w:p w14:paraId="0D7AFD65" w14:textId="358B625A" w:rsidR="00AD23D2" w:rsidRDefault="006F2CBA" w:rsidP="00625E50">
      <w:pPr>
        <w:spacing w:line="360" w:lineRule="auto"/>
      </w:pPr>
      <w:r>
        <w:t>B</w:t>
      </w:r>
      <w:r w:rsidR="007902BC">
        <w:t>efore we begin answering the research questions</w:t>
      </w:r>
      <w:r>
        <w:t xml:space="preserve"> in the Introduction</w:t>
      </w:r>
      <w:r w:rsidR="007902BC">
        <w:t xml:space="preserve">, another important question to answer is: </w:t>
      </w:r>
      <w:r w:rsidR="00346F8F">
        <w:t>W</w:t>
      </w:r>
      <w:r w:rsidR="0056787E" w:rsidRPr="009E4242">
        <w:t xml:space="preserve">hat </w:t>
      </w:r>
      <w:r w:rsidR="003F5F5E" w:rsidRPr="009E4242">
        <w:rPr>
          <w:i/>
          <w:iCs/>
        </w:rPr>
        <w:t>is</w:t>
      </w:r>
      <w:r w:rsidR="003F5F5E" w:rsidRPr="009E4242">
        <w:t xml:space="preserve"> policy learning? Although this seems like a </w:t>
      </w:r>
      <w:r w:rsidR="00CA0C39" w:rsidRPr="009E4242">
        <w:t>trivial</w:t>
      </w:r>
      <w:r w:rsidR="003F5F5E" w:rsidRPr="009E4242">
        <w:t xml:space="preserve"> issue, </w:t>
      </w:r>
      <w:r w:rsidR="000F3783" w:rsidRPr="009E4242">
        <w:t xml:space="preserve">it is hard to pinpoint exactly </w:t>
      </w:r>
      <w:r w:rsidR="00CA0C39" w:rsidRPr="009E4242">
        <w:t>this</w:t>
      </w:r>
      <w:r w:rsidR="000F3783" w:rsidRPr="009E4242">
        <w:t xml:space="preserve"> in the existing literature. </w:t>
      </w:r>
    </w:p>
    <w:p w14:paraId="001D5308" w14:textId="7713BBBC" w:rsidR="009D5255" w:rsidRDefault="00AD23D2" w:rsidP="00625E50">
      <w:pPr>
        <w:spacing w:line="360" w:lineRule="auto"/>
        <w:rPr>
          <w:lang w:val="en-US"/>
        </w:rPr>
      </w:pPr>
      <w:r>
        <w:t>D</w:t>
      </w:r>
      <w:r w:rsidR="000F21C7" w:rsidRPr="009E4242">
        <w:t xml:space="preserve">unlop </w:t>
      </w:r>
      <w:r w:rsidR="00D96710">
        <w:t>and</w:t>
      </w:r>
      <w:r w:rsidR="000F21C7" w:rsidRPr="009E4242">
        <w:t xml:space="preserve"> Radaelli</w:t>
      </w:r>
      <w:r w:rsidR="008133C6">
        <w:t xml:space="preserve"> </w:t>
      </w:r>
      <w:r w:rsidR="008133C6">
        <w:fldChar w:fldCharType="begin"/>
      </w:r>
      <w:r w:rsidR="002D50AB">
        <w:instrText xml:space="preserve"> ADDIN ZOTERO_ITEM CSL_CITATION {"citationID":"EXOH9ABx","properties":{"formattedCitation":"(2013, p. 600)","plainCitation":"(2013, p. 600)","noteIndex":0},"citationItems":[{"id":1178,"uris":["http://zotero.org/users/7744878/items/UWT56SLS"],"uri":["http://zotero.org/users/7744878/items/UWT56SLS"],"itemData":{"id":1178,"type":"article-journal","abstract":"The field of policy learning is characterised by concept stretching and a lack of systematic findings. To systematise them, we combine the classic Sartorian approach to classification with the more recent insights on explanatory typologies, distinguishing between the genus and the different species within it. By drawing on the technique of explanatory typologies to introduce a basic model of policy learning, we identify four major genera in the literature. We then generate variation within each cell by using rigorous concepts drawn from adult education research. By looking at learning through the lenses of knowledge utilisation, we show that the basic model can be expanded to reveal sixteen different species. These types are all conceptually possible, but are not all empirically established in the literature. Our reconstruction of the field sheds light on mechanisms and relations associated with alternative operationalisations of learning and the role of actors in the process of knowledge construction and utilisation. By providing a comprehensive typology, we mitigate concept-stretching problems and lay the foundations for the systematic comparison across and within cases of policy learning.","container-title":"Political Studies","DOI":"10.1111/j.1467-9248.2012.00982.x","ISSN":"0032-3217, 1467-9248","issue":"3","journalAbbreviation":"Political Studies","language":"en","page":"599-619","source":"DOI.org (Crossref)","title":"Systematising Policy Learning: From Monolith to Dimensions","title-short":"Systematising Policy Learning","volume":"61","author":[{"family":"Dunlop","given":"Claire A."},{"family":"Radaelli","given":"Claudio M."}],"issued":{"date-parts":[["2013",10]]}},"locator":"600","suppress-author":true}],"schema":"https://github.com/citation-style-language/schema/raw/master/csl-citation.json"} </w:instrText>
      </w:r>
      <w:r w:rsidR="008133C6">
        <w:fldChar w:fldCharType="separate"/>
      </w:r>
      <w:r w:rsidR="002D50AB">
        <w:rPr>
          <w:noProof/>
          <w:lang w:val="en-US"/>
        </w:rPr>
        <w:t>(2013, p. 600)</w:t>
      </w:r>
      <w:r w:rsidR="008133C6">
        <w:fldChar w:fldCharType="end"/>
      </w:r>
      <w:r w:rsidR="00A26C76" w:rsidRPr="002D50AB">
        <w:rPr>
          <w:lang w:val="en-US"/>
        </w:rPr>
        <w:t>, although they state they do not point to a specific definition of learning, treat it as “</w:t>
      </w:r>
      <w:r w:rsidR="00A26C76" w:rsidRPr="002D50AB">
        <w:rPr>
          <w:i/>
          <w:iCs/>
          <w:lang w:val="en-US"/>
        </w:rPr>
        <w:t>the updating of beliefs at its most general level</w:t>
      </w:r>
      <w:r w:rsidR="00A26C76" w:rsidRPr="002D50AB">
        <w:rPr>
          <w:lang w:val="en-US"/>
        </w:rPr>
        <w:t>”.</w:t>
      </w:r>
      <w:r w:rsidR="006F28D8">
        <w:rPr>
          <w:lang w:val="en-US"/>
        </w:rPr>
        <w:t xml:space="preserve"> In a later work, Dunlop and Rad</w:t>
      </w:r>
      <w:r w:rsidR="00820FED">
        <w:rPr>
          <w:lang w:val="en-US"/>
        </w:rPr>
        <w:t>a</w:t>
      </w:r>
      <w:r w:rsidR="006F28D8">
        <w:rPr>
          <w:lang w:val="en-US"/>
        </w:rPr>
        <w:t xml:space="preserve">elli (2022) distinguish between four modes of policy learning: epistemic, </w:t>
      </w:r>
      <w:r w:rsidR="009D5255">
        <w:rPr>
          <w:lang w:val="en-US"/>
        </w:rPr>
        <w:t xml:space="preserve">reflexive, bargaining, and hierarchical. As we argue later, NVL has never been a </w:t>
      </w:r>
      <w:r w:rsidR="005F4DBE">
        <w:rPr>
          <w:lang w:val="en-US"/>
        </w:rPr>
        <w:t xml:space="preserve">real </w:t>
      </w:r>
      <w:r w:rsidR="009D5255">
        <w:rPr>
          <w:lang w:val="en-US"/>
        </w:rPr>
        <w:t>hierarchical learning forum, and it has moved away from applying a bargaining mode of policy learning. Instead, NVL is today basically characteri</w:t>
      </w:r>
      <w:r w:rsidR="00E0745C">
        <w:rPr>
          <w:lang w:val="en-US"/>
        </w:rPr>
        <w:t>s</w:t>
      </w:r>
      <w:r w:rsidR="009D5255">
        <w:rPr>
          <w:lang w:val="en-US"/>
        </w:rPr>
        <w:t>ed by epistemic and reflexive modes of policy learning.</w:t>
      </w:r>
      <w:r>
        <w:rPr>
          <w:lang w:val="en-US"/>
        </w:rPr>
        <w:t xml:space="preserve"> </w:t>
      </w:r>
      <w:r w:rsidR="00821426">
        <w:rPr>
          <w:lang w:val="en-US"/>
        </w:rPr>
        <w:t>Our hypothesis is that this is generally the case as far as policy learning networks in the Nordic Council of Ministers is concerned.</w:t>
      </w:r>
    </w:p>
    <w:p w14:paraId="7B064857" w14:textId="073E510D" w:rsidR="006F28D8" w:rsidRDefault="009D5255" w:rsidP="00A718C4">
      <w:pPr>
        <w:spacing w:line="360" w:lineRule="auto"/>
        <w:rPr>
          <w:lang w:val="en-US"/>
        </w:rPr>
      </w:pPr>
      <w:r>
        <w:rPr>
          <w:lang w:val="en-US"/>
        </w:rPr>
        <w:t>According to Dunlop and Radaelli (2022, p. 56), we can unpack the epistemic mode of policy learning in the following way</w:t>
      </w:r>
      <w:r w:rsidR="00E0745C">
        <w:rPr>
          <w:lang w:val="en-US"/>
        </w:rPr>
        <w:t>:</w:t>
      </w:r>
      <w:r>
        <w:rPr>
          <w:lang w:val="en-US"/>
        </w:rPr>
        <w:t xml:space="preserve"> </w:t>
      </w:r>
      <w:r w:rsidR="00DA1BE5">
        <w:rPr>
          <w:lang w:val="en-US"/>
        </w:rPr>
        <w:t>‘</w:t>
      </w:r>
      <w:r w:rsidR="00A55102">
        <w:rPr>
          <w:lang w:val="en-US"/>
        </w:rPr>
        <w:t>Teaching</w:t>
      </w:r>
      <w:r w:rsidR="00DA1BE5">
        <w:rPr>
          <w:lang w:val="en-US"/>
        </w:rPr>
        <w:t>’</w:t>
      </w:r>
      <w:r w:rsidR="00A55102">
        <w:rPr>
          <w:lang w:val="en-US"/>
        </w:rPr>
        <w:t xml:space="preserve"> is the metaphor for this type of policy learning. The predominant actors are experts. Moreover, what is learned is the cause and effect relationship in the analysed policy area based on input from science.</w:t>
      </w:r>
      <w:r>
        <w:rPr>
          <w:lang w:val="en-US"/>
        </w:rPr>
        <w:t xml:space="preserve"> </w:t>
      </w:r>
    </w:p>
    <w:p w14:paraId="5F058A3B" w14:textId="6E330749" w:rsidR="00A55102" w:rsidRDefault="00821426" w:rsidP="00A718C4">
      <w:pPr>
        <w:spacing w:line="360" w:lineRule="auto"/>
        <w:rPr>
          <w:lang w:val="en-US"/>
        </w:rPr>
      </w:pPr>
      <w:r>
        <w:rPr>
          <w:lang w:val="en-US"/>
        </w:rPr>
        <w:t xml:space="preserve">In contrast, </w:t>
      </w:r>
      <w:r w:rsidR="00E0745C">
        <w:rPr>
          <w:lang w:val="en-US"/>
        </w:rPr>
        <w:t>‘</w:t>
      </w:r>
      <w:r>
        <w:rPr>
          <w:lang w:val="en-US"/>
        </w:rPr>
        <w:t>d</w:t>
      </w:r>
      <w:r w:rsidR="00E0745C">
        <w:rPr>
          <w:lang w:val="en-US"/>
        </w:rPr>
        <w:t>ialogue’ is the metaphor for</w:t>
      </w:r>
      <w:r w:rsidR="009E3FF3">
        <w:rPr>
          <w:lang w:val="en-US"/>
        </w:rPr>
        <w:t xml:space="preserve"> the reflexive mode of policy learning</w:t>
      </w:r>
      <w:r w:rsidR="00E0745C">
        <w:rPr>
          <w:lang w:val="en-US"/>
        </w:rPr>
        <w:t xml:space="preserve">. </w:t>
      </w:r>
      <w:r w:rsidR="009E3FF3">
        <w:rPr>
          <w:lang w:val="en-US"/>
        </w:rPr>
        <w:t xml:space="preserve">The predominant actors are citizens interested in the policy area. In addition, what is learned is exposing norms as well as learning how to learn. </w:t>
      </w:r>
    </w:p>
    <w:p w14:paraId="4BD51753" w14:textId="52CB734B" w:rsidR="009E3FF3" w:rsidRDefault="009E3FF3" w:rsidP="00A718C4">
      <w:pPr>
        <w:spacing w:line="360" w:lineRule="auto"/>
        <w:rPr>
          <w:lang w:val="en-US"/>
        </w:rPr>
      </w:pPr>
      <w:r>
        <w:rPr>
          <w:lang w:val="en-US"/>
        </w:rPr>
        <w:t xml:space="preserve">Even though NVL has distanced itself from the bargaining mode of policy learning in recent years, there are still </w:t>
      </w:r>
      <w:r w:rsidR="007902BC">
        <w:rPr>
          <w:lang w:val="en-US"/>
        </w:rPr>
        <w:t xml:space="preserve">reminiscences </w:t>
      </w:r>
      <w:r>
        <w:rPr>
          <w:lang w:val="en-US"/>
        </w:rPr>
        <w:t xml:space="preserve">of this type of policy learning where </w:t>
      </w:r>
      <w:r w:rsidR="00DA1BE5">
        <w:rPr>
          <w:lang w:val="en-US"/>
        </w:rPr>
        <w:t>‘</w:t>
      </w:r>
      <w:r>
        <w:rPr>
          <w:lang w:val="en-US"/>
        </w:rPr>
        <w:t>exchange</w:t>
      </w:r>
      <w:r w:rsidR="00DA1BE5">
        <w:rPr>
          <w:lang w:val="en-US"/>
        </w:rPr>
        <w:t>’</w:t>
      </w:r>
      <w:r>
        <w:rPr>
          <w:lang w:val="en-US"/>
        </w:rPr>
        <w:t xml:space="preserve"> is the learning metaphor, where various interests are </w:t>
      </w:r>
      <w:r w:rsidR="00E0745C">
        <w:rPr>
          <w:lang w:val="en-US"/>
        </w:rPr>
        <w:t xml:space="preserve">the </w:t>
      </w:r>
      <w:r>
        <w:rPr>
          <w:lang w:val="en-US"/>
        </w:rPr>
        <w:t xml:space="preserve">predominant actors, and where what is learned </w:t>
      </w:r>
      <w:r w:rsidR="00E0745C">
        <w:rPr>
          <w:lang w:val="en-US"/>
        </w:rPr>
        <w:t>comprises</w:t>
      </w:r>
      <w:r>
        <w:rPr>
          <w:lang w:val="en-US"/>
        </w:rPr>
        <w:t xml:space="preserve"> the composition of preferences and costs of cooperation (</w:t>
      </w:r>
      <w:r w:rsidR="00821426">
        <w:rPr>
          <w:lang w:val="en-US"/>
        </w:rPr>
        <w:t xml:space="preserve">cf. the definitions by </w:t>
      </w:r>
      <w:r>
        <w:rPr>
          <w:lang w:val="en-US"/>
        </w:rPr>
        <w:t>Dunlop &amp; Radaelli 2022, p. 56).</w:t>
      </w:r>
    </w:p>
    <w:p w14:paraId="01B4AF75" w14:textId="261DD7A5" w:rsidR="00427B03" w:rsidRPr="009E4242" w:rsidRDefault="009E3FF3" w:rsidP="00A718C4">
      <w:pPr>
        <w:spacing w:line="360" w:lineRule="auto"/>
      </w:pPr>
      <w:r>
        <w:rPr>
          <w:lang w:val="en-US"/>
        </w:rPr>
        <w:t>Both epistemic and reflexive policy learning are cooperative modes (Dunlop &amp; Radaelli 2022, p. 61). However, one of the differ</w:t>
      </w:r>
      <w:r w:rsidR="00963A84">
        <w:rPr>
          <w:lang w:val="en-US"/>
        </w:rPr>
        <w:t xml:space="preserve">ences is that </w:t>
      </w:r>
      <w:r w:rsidR="00E0745C">
        <w:rPr>
          <w:lang w:val="en-US"/>
        </w:rPr>
        <w:t xml:space="preserve">the </w:t>
      </w:r>
      <w:r w:rsidR="00963A84">
        <w:rPr>
          <w:lang w:val="en-US"/>
        </w:rPr>
        <w:t>epistemic mode mobili</w:t>
      </w:r>
      <w:r w:rsidR="00E0745C">
        <w:rPr>
          <w:lang w:val="en-US"/>
        </w:rPr>
        <w:t>s</w:t>
      </w:r>
      <w:r w:rsidR="00963A84">
        <w:rPr>
          <w:lang w:val="en-US"/>
        </w:rPr>
        <w:t xml:space="preserve">es scientific and professional beliefs. Reflexive policy learning, on the other hand, hinges on beliefs about what is correct, appropriate and acceptable (Dunlop &amp; Radaelli 2022, p. 61). In addition, to qualify as an epistemic community, the expert group of the learning forum must have originated outside the government as opposed to having been assembled by the bureaucracy (Dunlop &amp; Radaelli 2022, p. 64). </w:t>
      </w:r>
    </w:p>
    <w:p w14:paraId="2E2F6316" w14:textId="7203C686" w:rsidR="00042964" w:rsidRPr="009E4242" w:rsidRDefault="00C91DBD" w:rsidP="00A718C4">
      <w:pPr>
        <w:spacing w:line="360" w:lineRule="auto"/>
      </w:pPr>
      <w:r w:rsidRPr="009E4242">
        <w:t xml:space="preserve">In this </w:t>
      </w:r>
      <w:r w:rsidR="00821426">
        <w:t>chapter</w:t>
      </w:r>
      <w:r w:rsidRPr="009E4242">
        <w:t xml:space="preserve">, we maintain a rather </w:t>
      </w:r>
      <w:r w:rsidR="00570B9A" w:rsidRPr="009E4242">
        <w:t>empirical</w:t>
      </w:r>
      <w:r w:rsidRPr="009E4242">
        <w:t xml:space="preserve"> </w:t>
      </w:r>
      <w:r w:rsidR="00530C30">
        <w:t xml:space="preserve">and inductive </w:t>
      </w:r>
      <w:r w:rsidR="00570B9A" w:rsidRPr="009E4242">
        <w:t>focus</w:t>
      </w:r>
      <w:r w:rsidR="00E54B96" w:rsidRPr="009E4242">
        <w:t xml:space="preserve">. </w:t>
      </w:r>
      <w:r w:rsidR="000E15C6">
        <w:t xml:space="preserve">Nevertheless, </w:t>
      </w:r>
      <w:r w:rsidR="00E54B96" w:rsidRPr="009E4242">
        <w:t xml:space="preserve">theoretical insights from the field of policy learning </w:t>
      </w:r>
      <w:r w:rsidR="00952669">
        <w:t xml:space="preserve">mentioned above </w:t>
      </w:r>
      <w:r w:rsidR="00CA0C39" w:rsidRPr="009E4242">
        <w:t>are</w:t>
      </w:r>
      <w:r w:rsidR="00E54B96" w:rsidRPr="009E4242">
        <w:t xml:space="preserve"> </w:t>
      </w:r>
      <w:r w:rsidR="00FA5476">
        <w:t>necessary</w:t>
      </w:r>
      <w:r w:rsidR="00E54B96" w:rsidRPr="009E4242">
        <w:t xml:space="preserve"> in terms of </w:t>
      </w:r>
      <w:r w:rsidR="002D10DB" w:rsidRPr="009E4242">
        <w:t xml:space="preserve">providing a systematic language to </w:t>
      </w:r>
      <w:r w:rsidR="00101DFE">
        <w:t>under</w:t>
      </w:r>
      <w:r w:rsidR="002D10DB" w:rsidRPr="009E4242">
        <w:t xml:space="preserve">stand </w:t>
      </w:r>
      <w:r w:rsidR="00101DFE">
        <w:t>th</w:t>
      </w:r>
      <w:r w:rsidR="00491C4B">
        <w:t>e</w:t>
      </w:r>
      <w:r w:rsidR="00101DFE">
        <w:t xml:space="preserve"> </w:t>
      </w:r>
      <w:r w:rsidR="00952669">
        <w:t>policy learning process</w:t>
      </w:r>
      <w:r w:rsidR="007902BC">
        <w:t xml:space="preserve"> of the Nordic Council of Ministers</w:t>
      </w:r>
      <w:r w:rsidR="00952669">
        <w:t>.</w:t>
      </w:r>
      <w:r w:rsidR="002D10DB" w:rsidRPr="009E4242">
        <w:t xml:space="preserve"> </w:t>
      </w:r>
    </w:p>
    <w:p w14:paraId="0F7FF2F0" w14:textId="64410C72" w:rsidR="00B6694F" w:rsidRDefault="00213EBE" w:rsidP="00A718C4">
      <w:pPr>
        <w:spacing w:line="360" w:lineRule="auto"/>
        <w:rPr>
          <w:rFonts w:eastAsia="Calibri"/>
          <w:lang w:val="en-US" w:eastAsia="en-US"/>
        </w:rPr>
      </w:pPr>
      <w:r w:rsidRPr="00213EBE">
        <w:rPr>
          <w:rFonts w:eastAsia="Calibri"/>
          <w:lang w:val="en-US" w:eastAsia="en-US"/>
        </w:rPr>
        <w:t xml:space="preserve">This </w:t>
      </w:r>
      <w:r w:rsidR="007902BC">
        <w:rPr>
          <w:rFonts w:eastAsia="Calibri"/>
          <w:lang w:val="en-US" w:eastAsia="en-US"/>
        </w:rPr>
        <w:t xml:space="preserve">first part of the analysis </w:t>
      </w:r>
      <w:r w:rsidRPr="00213EBE">
        <w:rPr>
          <w:rFonts w:eastAsia="Calibri"/>
          <w:lang w:val="en-US" w:eastAsia="en-US"/>
        </w:rPr>
        <w:t xml:space="preserve">will address the research question </w:t>
      </w:r>
      <w:r w:rsidR="003A3407">
        <w:rPr>
          <w:rFonts w:eastAsia="Calibri"/>
          <w:lang w:val="en-US" w:eastAsia="en-US"/>
        </w:rPr>
        <w:t xml:space="preserve">as to </w:t>
      </w:r>
      <w:r w:rsidRPr="00213EBE">
        <w:rPr>
          <w:rFonts w:eastAsia="Calibri"/>
          <w:lang w:val="en-US" w:eastAsia="en-US"/>
        </w:rPr>
        <w:t xml:space="preserve">how we </w:t>
      </w:r>
      <w:r w:rsidR="003A3407">
        <w:rPr>
          <w:rFonts w:eastAsia="Calibri"/>
          <w:lang w:val="en-US" w:eastAsia="en-US"/>
        </w:rPr>
        <w:t xml:space="preserve">can </w:t>
      </w:r>
      <w:r w:rsidRPr="00213EBE">
        <w:rPr>
          <w:rFonts w:eastAsia="Calibri"/>
          <w:lang w:val="en-US" w:eastAsia="en-US"/>
        </w:rPr>
        <w:t xml:space="preserve">understand the processes of policy learning of Nordic cooperation in the network of NVL. </w:t>
      </w:r>
      <w:r w:rsidR="00B6694F">
        <w:rPr>
          <w:rFonts w:eastAsia="Calibri"/>
          <w:lang w:val="en-US" w:eastAsia="en-US"/>
        </w:rPr>
        <w:t>This is dealt with in the first part of the analysis</w:t>
      </w:r>
      <w:r w:rsidR="00D546B7">
        <w:rPr>
          <w:rFonts w:eastAsia="Calibri"/>
          <w:lang w:val="en-US" w:eastAsia="en-US"/>
        </w:rPr>
        <w:t xml:space="preserve"> below</w:t>
      </w:r>
      <w:r w:rsidR="00B6694F">
        <w:rPr>
          <w:rFonts w:eastAsia="Calibri"/>
          <w:lang w:val="en-US" w:eastAsia="en-US"/>
        </w:rPr>
        <w:t>.</w:t>
      </w:r>
    </w:p>
    <w:p w14:paraId="464F342E" w14:textId="2B9143F4" w:rsidR="00963A84" w:rsidRDefault="00B6694F" w:rsidP="00A718C4">
      <w:pPr>
        <w:spacing w:line="360" w:lineRule="auto"/>
        <w:rPr>
          <w:rFonts w:eastAsia="Calibri"/>
          <w:lang w:val="en-US" w:eastAsia="en-US"/>
        </w:rPr>
      </w:pPr>
      <w:r>
        <w:rPr>
          <w:rFonts w:eastAsia="Calibri"/>
          <w:lang w:val="en-US" w:eastAsia="en-US"/>
        </w:rPr>
        <w:t xml:space="preserve">The second part of the analysis deals with the policy learning output from NVL. </w:t>
      </w:r>
      <w:r w:rsidR="00963A84">
        <w:rPr>
          <w:rFonts w:eastAsia="Calibri"/>
          <w:lang w:val="en-US" w:eastAsia="en-US"/>
        </w:rPr>
        <w:t>Dolowitz and March</w:t>
      </w:r>
      <w:r>
        <w:rPr>
          <w:rFonts w:eastAsia="Calibri"/>
          <w:lang w:val="en-US" w:eastAsia="en-US"/>
        </w:rPr>
        <w:t xml:space="preserve"> (1996, p. 35)</w:t>
      </w:r>
      <w:r w:rsidR="007902BC">
        <w:rPr>
          <w:rFonts w:eastAsia="Calibri"/>
          <w:lang w:val="en-US" w:eastAsia="en-US"/>
        </w:rPr>
        <w:t xml:space="preserve"> in their seminal paper</w:t>
      </w:r>
      <w:r>
        <w:rPr>
          <w:rFonts w:eastAsia="Calibri"/>
          <w:lang w:val="en-US" w:eastAsia="en-US"/>
        </w:rPr>
        <w:t xml:space="preserve"> distinguish between four options as far as policy transfer or policy learning is concerned.</w:t>
      </w:r>
      <w:r w:rsidR="006A54CA">
        <w:rPr>
          <w:rFonts w:eastAsia="Calibri"/>
          <w:lang w:val="en-US" w:eastAsia="en-US"/>
        </w:rPr>
        <w:t xml:space="preserve"> One option is copying, i.e. transfer of a programme in use elsewhere. A second option is emulation, i.e. not copying everything in detail, but only the best standard. A third option is hybridi</w:t>
      </w:r>
      <w:r w:rsidR="00B91D6A">
        <w:rPr>
          <w:rFonts w:eastAsia="Calibri"/>
          <w:lang w:val="en-US" w:eastAsia="en-US"/>
        </w:rPr>
        <w:t>s</w:t>
      </w:r>
      <w:r w:rsidR="006A54CA">
        <w:rPr>
          <w:rFonts w:eastAsia="Calibri"/>
          <w:lang w:val="en-US" w:eastAsia="en-US"/>
        </w:rPr>
        <w:t>ation and synthesis, i.e. combining elements found in other countries. A fourth option is inspiration, i.e. expanding ideas and fresh thinking.</w:t>
      </w:r>
      <w:r w:rsidR="00D546B7">
        <w:rPr>
          <w:rFonts w:eastAsia="Calibri"/>
          <w:lang w:val="en-US" w:eastAsia="en-US"/>
        </w:rPr>
        <w:t xml:space="preserve"> </w:t>
      </w:r>
      <w:r w:rsidR="007902BC">
        <w:rPr>
          <w:rFonts w:eastAsia="Calibri"/>
          <w:lang w:val="en-US" w:eastAsia="en-US"/>
        </w:rPr>
        <w:t>Based on these four options, we will analyse the policy learning output of NVL.</w:t>
      </w:r>
    </w:p>
    <w:p w14:paraId="29B9218A" w14:textId="081EE8B2" w:rsidR="00DF7EF3" w:rsidRPr="009E4242" w:rsidRDefault="006A54CA" w:rsidP="00A718C4">
      <w:pPr>
        <w:pStyle w:val="Heading1"/>
      </w:pPr>
      <w:r w:rsidDel="006A54CA">
        <w:rPr>
          <w:rFonts w:eastAsia="Calibri"/>
          <w:lang w:val="en-US" w:eastAsia="en-US"/>
        </w:rPr>
        <w:t xml:space="preserve"> </w:t>
      </w:r>
      <w:r w:rsidR="00963A84">
        <w:t>Methodology</w:t>
      </w:r>
    </w:p>
    <w:p w14:paraId="0DCE5A18" w14:textId="322601DE" w:rsidR="007615DE" w:rsidRDefault="00AC5370" w:rsidP="00A718C4">
      <w:pPr>
        <w:spacing w:line="360" w:lineRule="auto"/>
      </w:pPr>
      <w:r>
        <w:t>Th</w:t>
      </w:r>
      <w:r w:rsidR="007902BC">
        <w:t>e</w:t>
      </w:r>
      <w:r>
        <w:t xml:space="preserve"> policy learning network </w:t>
      </w:r>
      <w:r w:rsidR="007902BC">
        <w:t xml:space="preserve">of NVL </w:t>
      </w:r>
      <w:r>
        <w:t>was chosen because it – according to actors in and around the Nordic Council of Ministers – represented a ‘typical’ Nordic policy learning forum (cf. also</w:t>
      </w:r>
      <w:r w:rsidR="00D546B7">
        <w:t xml:space="preserve"> Nordic Network for Adult Learning, 2021b</w:t>
      </w:r>
      <w:r>
        <w:t xml:space="preserve">). </w:t>
      </w:r>
      <w:r w:rsidR="0081602C" w:rsidRPr="009E4242">
        <w:t xml:space="preserve">The </w:t>
      </w:r>
      <w:r w:rsidR="007615DE">
        <w:t xml:space="preserve">data </w:t>
      </w:r>
      <w:r w:rsidR="00022CB7">
        <w:t xml:space="preserve">material </w:t>
      </w:r>
      <w:r w:rsidR="007615DE">
        <w:t xml:space="preserve">of the </w:t>
      </w:r>
      <w:r w:rsidR="0081602C" w:rsidRPr="009E4242">
        <w:t>analysis in this</w:t>
      </w:r>
      <w:r w:rsidR="007902BC">
        <w:t xml:space="preserve"> chapter</w:t>
      </w:r>
      <w:r w:rsidR="0081602C" w:rsidRPr="009E4242">
        <w:t xml:space="preserve"> </w:t>
      </w:r>
      <w:r w:rsidR="00FC6F0D">
        <w:t>consists of</w:t>
      </w:r>
      <w:r w:rsidR="0081602C" w:rsidRPr="009E4242">
        <w:t xml:space="preserve"> </w:t>
      </w:r>
      <w:r w:rsidR="00F65341">
        <w:t xml:space="preserve">10 </w:t>
      </w:r>
      <w:r w:rsidR="0081602C" w:rsidRPr="009E4242">
        <w:t>in-depth qualitative interviews with members of different networks within NVL</w:t>
      </w:r>
      <w:r w:rsidR="00F65341">
        <w:t xml:space="preserve"> over a period of two years</w:t>
      </w:r>
      <w:r w:rsidR="00FC6F0D">
        <w:t>,</w:t>
      </w:r>
      <w:r w:rsidR="003F5745">
        <w:t xml:space="preserve"> as well as documents from the Nordic Council of Ministers</w:t>
      </w:r>
      <w:r w:rsidR="0081602C" w:rsidRPr="009E4242">
        <w:t xml:space="preserve">. </w:t>
      </w:r>
      <w:r w:rsidR="00B15F05" w:rsidRPr="009E4242">
        <w:t xml:space="preserve">The </w:t>
      </w:r>
      <w:r w:rsidR="00CF5266">
        <w:t>interview</w:t>
      </w:r>
      <w:r w:rsidR="001D490B">
        <w:t>ee</w:t>
      </w:r>
      <w:r w:rsidR="00CF5266">
        <w:t xml:space="preserve">s </w:t>
      </w:r>
      <w:r w:rsidR="00B15F05" w:rsidRPr="009E4242">
        <w:t xml:space="preserve">comprise regular members </w:t>
      </w:r>
      <w:r w:rsidR="00E30304">
        <w:t xml:space="preserve">with </w:t>
      </w:r>
      <w:r w:rsidR="007902BC">
        <w:t xml:space="preserve">a wide range of </w:t>
      </w:r>
      <w:r w:rsidR="00B15F05" w:rsidRPr="009E4242">
        <w:t>responsibilities in their network</w:t>
      </w:r>
      <w:r w:rsidR="00BF19F9">
        <w:t xml:space="preserve">. </w:t>
      </w:r>
      <w:r w:rsidR="00786DBB" w:rsidRPr="009E4242">
        <w:t>We established contact with the interviewees through executive and administrative members of NVL.</w:t>
      </w:r>
      <w:r w:rsidR="00160D28" w:rsidRPr="009E4242">
        <w:t xml:space="preserve"> </w:t>
      </w:r>
    </w:p>
    <w:p w14:paraId="2CF3915A" w14:textId="6AB1A563" w:rsidR="00B259C7" w:rsidRDefault="00EB6AFB" w:rsidP="00A718C4">
      <w:pPr>
        <w:spacing w:line="360" w:lineRule="auto"/>
      </w:pPr>
      <w:r w:rsidRPr="009E4242">
        <w:t>Tab</w:t>
      </w:r>
      <w:r w:rsidR="00ED7A77" w:rsidRPr="009E4242">
        <w:t>le</w:t>
      </w:r>
      <w:r w:rsidR="00FC18A1" w:rsidRPr="009E4242">
        <w:t xml:space="preserve"> </w:t>
      </w:r>
      <w:r w:rsidR="00FD06DE">
        <w:t>7.</w:t>
      </w:r>
      <w:r w:rsidR="003072F4">
        <w:t>1</w:t>
      </w:r>
      <w:r w:rsidR="00ED7A77" w:rsidRPr="009E4242">
        <w:t xml:space="preserve"> shows </w:t>
      </w:r>
      <w:r w:rsidR="00CF5266">
        <w:t>a list of all interviews</w:t>
      </w:r>
      <w:r w:rsidR="00F65341">
        <w:t xml:space="preserve">. </w:t>
      </w:r>
      <w:r w:rsidR="00ED7A77" w:rsidRPr="009E4242">
        <w:t xml:space="preserve">We </w:t>
      </w:r>
      <w:r w:rsidR="00FC6F0D">
        <w:t>cite</w:t>
      </w:r>
      <w:r w:rsidR="00ED7A77" w:rsidRPr="009E4242">
        <w:t xml:space="preserve"> the </w:t>
      </w:r>
      <w:r w:rsidR="00CF5266">
        <w:t>interview</w:t>
      </w:r>
      <w:r w:rsidR="00ED7A77" w:rsidRPr="009E4242">
        <w:t xml:space="preserve"> numbe</w:t>
      </w:r>
      <w:r w:rsidR="0013769C">
        <w:t>r</w:t>
      </w:r>
      <w:r w:rsidR="000679D5">
        <w:t>s</w:t>
      </w:r>
      <w:r w:rsidR="0013769C">
        <w:t xml:space="preserve"> when referring to </w:t>
      </w:r>
      <w:r w:rsidR="008E56B7">
        <w:t>the</w:t>
      </w:r>
      <w:r w:rsidR="000679D5">
        <w:t xml:space="preserve">m </w:t>
      </w:r>
      <w:r w:rsidR="006261D9">
        <w:t xml:space="preserve">in the </w:t>
      </w:r>
      <w:r w:rsidR="00821426">
        <w:t>chapter</w:t>
      </w:r>
      <w:r w:rsidR="0013769C">
        <w:t xml:space="preserve">. </w:t>
      </w:r>
      <w:r w:rsidR="003176FF">
        <w:t>Even though not all interviewees are quoted</w:t>
      </w:r>
      <w:r w:rsidR="008E56B7">
        <w:t xml:space="preserve"> to the same extent</w:t>
      </w:r>
      <w:r w:rsidR="003176FF">
        <w:t xml:space="preserve">, they are all important parts of the data of this </w:t>
      </w:r>
      <w:r w:rsidR="00821426">
        <w:t>chapter</w:t>
      </w:r>
      <w:r w:rsidR="003176FF">
        <w:t>.</w:t>
      </w:r>
      <w:r w:rsidR="00BE66FC">
        <w:t xml:space="preserve"> As can be seen, all roles as far as NVL is concerned are represented</w:t>
      </w:r>
      <w:r w:rsidR="006261D9">
        <w:t xml:space="preserve">, i.e. </w:t>
      </w:r>
      <w:r w:rsidR="00BE66FC">
        <w:t xml:space="preserve">Nordic head coordinator, national coordinators, </w:t>
      </w:r>
      <w:r w:rsidR="00872CD4">
        <w:t>sectorial</w:t>
      </w:r>
      <w:r w:rsidR="00BE66FC">
        <w:t xml:space="preserve"> network coordinators, and </w:t>
      </w:r>
      <w:r w:rsidR="00872CD4">
        <w:t>sectorial</w:t>
      </w:r>
      <w:r w:rsidR="00BE66FC">
        <w:t xml:space="preserve"> network members</w:t>
      </w:r>
      <w:r w:rsidR="00745FCA">
        <w:t>, cf. below in the section with a presentation of NVL.</w:t>
      </w:r>
      <w:r w:rsidR="00BE66FC">
        <w:t xml:space="preserve"> </w:t>
      </w:r>
    </w:p>
    <w:p w14:paraId="45C2A328" w14:textId="77777777" w:rsidR="00FD06DE" w:rsidRPr="00FD06DE" w:rsidRDefault="00FD06DE" w:rsidP="00FD06DE">
      <w:pPr>
        <w:spacing w:after="240" w:line="360" w:lineRule="auto"/>
        <w:ind w:firstLine="0"/>
      </w:pPr>
    </w:p>
    <w:tbl>
      <w:tblPr>
        <w:tblStyle w:val="TableGrid1"/>
        <w:tblW w:w="0" w:type="auto"/>
        <w:jc w:val="center"/>
        <w:tblInd w:w="0" w:type="dxa"/>
        <w:tblLook w:val="04A0" w:firstRow="1" w:lastRow="0" w:firstColumn="1" w:lastColumn="0" w:noHBand="0" w:noVBand="1"/>
      </w:tblPr>
      <w:tblGrid>
        <w:gridCol w:w="1555"/>
        <w:gridCol w:w="6368"/>
        <w:gridCol w:w="1705"/>
      </w:tblGrid>
      <w:tr w:rsidR="00FD06DE" w:rsidRPr="00FD06DE" w14:paraId="55BD5E5F" w14:textId="77777777" w:rsidTr="00FD06DE">
        <w:trPr>
          <w:trHeight w:val="57"/>
          <w:jc w:val="center"/>
        </w:trPr>
        <w:tc>
          <w:tcPr>
            <w:tcW w:w="1555" w:type="dxa"/>
            <w:tcBorders>
              <w:top w:val="single" w:sz="4" w:space="0" w:color="auto"/>
              <w:left w:val="single" w:sz="4" w:space="0" w:color="auto"/>
              <w:bottom w:val="single" w:sz="4" w:space="0" w:color="auto"/>
              <w:right w:val="single" w:sz="4" w:space="0" w:color="auto"/>
            </w:tcBorders>
            <w:hideMark/>
          </w:tcPr>
          <w:p w14:paraId="56F9FCDD" w14:textId="77777777" w:rsidR="00FD06DE" w:rsidRPr="00FD06DE" w:rsidRDefault="00FD06DE" w:rsidP="00FD06DE">
            <w:pPr>
              <w:spacing w:after="240" w:line="360" w:lineRule="auto"/>
              <w:ind w:firstLine="0"/>
            </w:pPr>
            <w:r w:rsidRPr="00FD06DE">
              <w:t>Interview number</w:t>
            </w:r>
          </w:p>
        </w:tc>
        <w:tc>
          <w:tcPr>
            <w:tcW w:w="6368" w:type="dxa"/>
            <w:tcBorders>
              <w:top w:val="single" w:sz="4" w:space="0" w:color="auto"/>
              <w:left w:val="single" w:sz="4" w:space="0" w:color="auto"/>
              <w:bottom w:val="single" w:sz="4" w:space="0" w:color="auto"/>
              <w:right w:val="single" w:sz="4" w:space="0" w:color="auto"/>
            </w:tcBorders>
            <w:hideMark/>
          </w:tcPr>
          <w:p w14:paraId="4F668120" w14:textId="77777777" w:rsidR="00FD06DE" w:rsidRPr="00FD06DE" w:rsidRDefault="00FD06DE" w:rsidP="00FD06DE">
            <w:pPr>
              <w:spacing w:after="240" w:line="360" w:lineRule="auto"/>
              <w:ind w:firstLine="0"/>
            </w:pPr>
            <w:r w:rsidRPr="00FD06DE">
              <w:t>Function of the interviewee</w:t>
            </w:r>
          </w:p>
        </w:tc>
        <w:tc>
          <w:tcPr>
            <w:tcW w:w="1705" w:type="dxa"/>
            <w:tcBorders>
              <w:top w:val="single" w:sz="4" w:space="0" w:color="auto"/>
              <w:left w:val="single" w:sz="4" w:space="0" w:color="auto"/>
              <w:bottom w:val="single" w:sz="4" w:space="0" w:color="auto"/>
              <w:right w:val="single" w:sz="4" w:space="0" w:color="auto"/>
            </w:tcBorders>
            <w:hideMark/>
          </w:tcPr>
          <w:p w14:paraId="2A749679" w14:textId="77777777" w:rsidR="00FD06DE" w:rsidRPr="00FD06DE" w:rsidRDefault="00FD06DE" w:rsidP="00FD06DE">
            <w:pPr>
              <w:spacing w:line="360" w:lineRule="auto"/>
              <w:ind w:firstLine="0"/>
            </w:pPr>
            <w:r w:rsidRPr="00FD06DE">
              <w:t>Date of the interview</w:t>
            </w:r>
          </w:p>
        </w:tc>
      </w:tr>
      <w:tr w:rsidR="00FD06DE" w:rsidRPr="00FD06DE" w14:paraId="2191E932" w14:textId="77777777" w:rsidTr="00FD06DE">
        <w:trPr>
          <w:trHeight w:val="57"/>
          <w:jc w:val="center"/>
        </w:trPr>
        <w:tc>
          <w:tcPr>
            <w:tcW w:w="1555" w:type="dxa"/>
            <w:tcBorders>
              <w:top w:val="single" w:sz="4" w:space="0" w:color="auto"/>
              <w:left w:val="single" w:sz="4" w:space="0" w:color="auto"/>
              <w:bottom w:val="single" w:sz="4" w:space="0" w:color="auto"/>
              <w:right w:val="single" w:sz="4" w:space="0" w:color="auto"/>
            </w:tcBorders>
            <w:hideMark/>
          </w:tcPr>
          <w:p w14:paraId="5CDA481D" w14:textId="77777777" w:rsidR="00FD06DE" w:rsidRPr="00FD06DE" w:rsidRDefault="00FD06DE" w:rsidP="00FD06DE">
            <w:pPr>
              <w:spacing w:after="240" w:line="360" w:lineRule="auto"/>
              <w:ind w:firstLine="0"/>
            </w:pPr>
            <w:r w:rsidRPr="00FD06DE">
              <w:t>Interview 1</w:t>
            </w:r>
          </w:p>
        </w:tc>
        <w:tc>
          <w:tcPr>
            <w:tcW w:w="6368" w:type="dxa"/>
            <w:tcBorders>
              <w:top w:val="single" w:sz="4" w:space="0" w:color="auto"/>
              <w:left w:val="single" w:sz="4" w:space="0" w:color="auto"/>
              <w:bottom w:val="single" w:sz="4" w:space="0" w:color="auto"/>
              <w:right w:val="single" w:sz="4" w:space="0" w:color="auto"/>
            </w:tcBorders>
            <w:hideMark/>
          </w:tcPr>
          <w:p w14:paraId="3D0D6610" w14:textId="77777777" w:rsidR="00FD06DE" w:rsidRPr="00FD06DE" w:rsidRDefault="00FD06DE" w:rsidP="00FD06DE">
            <w:pPr>
              <w:spacing w:after="240" w:line="360" w:lineRule="auto"/>
              <w:ind w:firstLine="0"/>
            </w:pPr>
            <w:r w:rsidRPr="00FD06DE">
              <w:t>Nordic head coordinator of NVL</w:t>
            </w:r>
          </w:p>
        </w:tc>
        <w:tc>
          <w:tcPr>
            <w:tcW w:w="1705" w:type="dxa"/>
            <w:tcBorders>
              <w:top w:val="single" w:sz="4" w:space="0" w:color="auto"/>
              <w:left w:val="single" w:sz="4" w:space="0" w:color="auto"/>
              <w:bottom w:val="single" w:sz="4" w:space="0" w:color="auto"/>
              <w:right w:val="single" w:sz="4" w:space="0" w:color="auto"/>
            </w:tcBorders>
            <w:hideMark/>
          </w:tcPr>
          <w:p w14:paraId="4611525F" w14:textId="77777777" w:rsidR="00FD06DE" w:rsidRPr="00FD06DE" w:rsidRDefault="00FD06DE" w:rsidP="00FD06DE">
            <w:pPr>
              <w:spacing w:line="360" w:lineRule="auto"/>
              <w:ind w:firstLine="0"/>
            </w:pPr>
            <w:r w:rsidRPr="00FD06DE">
              <w:t>6.12.2019</w:t>
            </w:r>
          </w:p>
        </w:tc>
      </w:tr>
      <w:tr w:rsidR="00FD06DE" w:rsidRPr="00FD06DE" w14:paraId="7016D395" w14:textId="77777777" w:rsidTr="00FD06DE">
        <w:trPr>
          <w:trHeight w:val="57"/>
          <w:jc w:val="center"/>
        </w:trPr>
        <w:tc>
          <w:tcPr>
            <w:tcW w:w="1555" w:type="dxa"/>
            <w:tcBorders>
              <w:top w:val="single" w:sz="4" w:space="0" w:color="auto"/>
              <w:left w:val="single" w:sz="4" w:space="0" w:color="auto"/>
              <w:bottom w:val="single" w:sz="4" w:space="0" w:color="auto"/>
              <w:right w:val="single" w:sz="4" w:space="0" w:color="auto"/>
            </w:tcBorders>
            <w:hideMark/>
          </w:tcPr>
          <w:p w14:paraId="75ABDF1B" w14:textId="77777777" w:rsidR="00FD06DE" w:rsidRPr="00FD06DE" w:rsidRDefault="00FD06DE" w:rsidP="00FD06DE">
            <w:pPr>
              <w:spacing w:after="240" w:line="360" w:lineRule="auto"/>
              <w:ind w:firstLine="0"/>
            </w:pPr>
            <w:r w:rsidRPr="00FD06DE">
              <w:t>Interview 2</w:t>
            </w:r>
          </w:p>
        </w:tc>
        <w:tc>
          <w:tcPr>
            <w:tcW w:w="6368" w:type="dxa"/>
            <w:tcBorders>
              <w:top w:val="single" w:sz="4" w:space="0" w:color="auto"/>
              <w:left w:val="single" w:sz="4" w:space="0" w:color="auto"/>
              <w:bottom w:val="single" w:sz="4" w:space="0" w:color="auto"/>
              <w:right w:val="single" w:sz="4" w:space="0" w:color="auto"/>
            </w:tcBorders>
            <w:hideMark/>
          </w:tcPr>
          <w:p w14:paraId="5D9AF4A2" w14:textId="77777777" w:rsidR="00FD06DE" w:rsidRPr="00FD06DE" w:rsidRDefault="00FD06DE" w:rsidP="00FD06DE">
            <w:pPr>
              <w:spacing w:after="240" w:line="360" w:lineRule="auto"/>
              <w:ind w:firstLine="0"/>
            </w:pPr>
            <w:r w:rsidRPr="00FD06DE">
              <w:t>National coordinator of NVL expert networks</w:t>
            </w:r>
          </w:p>
        </w:tc>
        <w:tc>
          <w:tcPr>
            <w:tcW w:w="1705" w:type="dxa"/>
            <w:tcBorders>
              <w:top w:val="single" w:sz="4" w:space="0" w:color="auto"/>
              <w:left w:val="single" w:sz="4" w:space="0" w:color="auto"/>
              <w:bottom w:val="single" w:sz="4" w:space="0" w:color="auto"/>
              <w:right w:val="single" w:sz="4" w:space="0" w:color="auto"/>
            </w:tcBorders>
            <w:hideMark/>
          </w:tcPr>
          <w:p w14:paraId="1CA7E55D" w14:textId="77777777" w:rsidR="00FD06DE" w:rsidRPr="00FD06DE" w:rsidRDefault="00FD06DE" w:rsidP="00FD06DE">
            <w:pPr>
              <w:spacing w:line="360" w:lineRule="auto"/>
              <w:ind w:firstLine="0"/>
            </w:pPr>
            <w:r w:rsidRPr="00FD06DE">
              <w:t>9.12.2019</w:t>
            </w:r>
          </w:p>
        </w:tc>
      </w:tr>
      <w:tr w:rsidR="00FD06DE" w:rsidRPr="00FD06DE" w14:paraId="76DD65F7" w14:textId="77777777" w:rsidTr="00FD06DE">
        <w:trPr>
          <w:trHeight w:val="57"/>
          <w:jc w:val="center"/>
        </w:trPr>
        <w:tc>
          <w:tcPr>
            <w:tcW w:w="1555" w:type="dxa"/>
            <w:tcBorders>
              <w:top w:val="single" w:sz="4" w:space="0" w:color="auto"/>
              <w:left w:val="single" w:sz="4" w:space="0" w:color="auto"/>
              <w:bottom w:val="single" w:sz="4" w:space="0" w:color="auto"/>
              <w:right w:val="single" w:sz="4" w:space="0" w:color="auto"/>
            </w:tcBorders>
            <w:hideMark/>
          </w:tcPr>
          <w:p w14:paraId="36C0012D" w14:textId="77777777" w:rsidR="00FD06DE" w:rsidRPr="00FD06DE" w:rsidRDefault="00FD06DE" w:rsidP="00FD06DE">
            <w:pPr>
              <w:spacing w:after="240" w:line="360" w:lineRule="auto"/>
              <w:ind w:firstLine="0"/>
            </w:pPr>
            <w:r w:rsidRPr="00FD06DE">
              <w:t>Interview 3</w:t>
            </w:r>
          </w:p>
        </w:tc>
        <w:tc>
          <w:tcPr>
            <w:tcW w:w="6368" w:type="dxa"/>
            <w:tcBorders>
              <w:top w:val="single" w:sz="4" w:space="0" w:color="auto"/>
              <w:left w:val="single" w:sz="4" w:space="0" w:color="auto"/>
              <w:bottom w:val="single" w:sz="4" w:space="0" w:color="auto"/>
              <w:right w:val="single" w:sz="4" w:space="0" w:color="auto"/>
            </w:tcBorders>
            <w:hideMark/>
          </w:tcPr>
          <w:p w14:paraId="7EF9F389" w14:textId="77777777" w:rsidR="00FD06DE" w:rsidRPr="00FD06DE" w:rsidRDefault="00FD06DE" w:rsidP="00FD06DE">
            <w:pPr>
              <w:spacing w:after="240" w:line="360" w:lineRule="auto"/>
              <w:ind w:firstLine="0"/>
            </w:pPr>
            <w:r w:rsidRPr="00FD06DE">
              <w:t xml:space="preserve">Member and coordinator of NVL expert network </w:t>
            </w:r>
          </w:p>
        </w:tc>
        <w:tc>
          <w:tcPr>
            <w:tcW w:w="1705" w:type="dxa"/>
            <w:tcBorders>
              <w:top w:val="single" w:sz="4" w:space="0" w:color="auto"/>
              <w:left w:val="single" w:sz="4" w:space="0" w:color="auto"/>
              <w:bottom w:val="single" w:sz="4" w:space="0" w:color="auto"/>
              <w:right w:val="single" w:sz="4" w:space="0" w:color="auto"/>
            </w:tcBorders>
            <w:hideMark/>
          </w:tcPr>
          <w:p w14:paraId="5600C6F4" w14:textId="77777777" w:rsidR="00FD06DE" w:rsidRPr="00FD06DE" w:rsidRDefault="00FD06DE" w:rsidP="00FD06DE">
            <w:pPr>
              <w:spacing w:line="360" w:lineRule="auto"/>
              <w:ind w:firstLine="0"/>
            </w:pPr>
            <w:r w:rsidRPr="00FD06DE">
              <w:t>14.01.2020</w:t>
            </w:r>
          </w:p>
        </w:tc>
      </w:tr>
      <w:tr w:rsidR="00FD06DE" w:rsidRPr="00FD06DE" w14:paraId="14274A52" w14:textId="77777777" w:rsidTr="00FD06DE">
        <w:trPr>
          <w:trHeight w:val="570"/>
          <w:jc w:val="center"/>
        </w:trPr>
        <w:tc>
          <w:tcPr>
            <w:tcW w:w="1555" w:type="dxa"/>
            <w:tcBorders>
              <w:top w:val="single" w:sz="4" w:space="0" w:color="auto"/>
              <w:left w:val="single" w:sz="4" w:space="0" w:color="auto"/>
              <w:bottom w:val="single" w:sz="4" w:space="0" w:color="auto"/>
              <w:right w:val="single" w:sz="4" w:space="0" w:color="auto"/>
            </w:tcBorders>
            <w:hideMark/>
          </w:tcPr>
          <w:p w14:paraId="269DA114" w14:textId="77777777" w:rsidR="00FD06DE" w:rsidRPr="00FD06DE" w:rsidRDefault="00FD06DE" w:rsidP="00FD06DE">
            <w:pPr>
              <w:spacing w:after="200" w:line="360" w:lineRule="auto"/>
              <w:ind w:firstLine="0"/>
              <w:rPr>
                <w:iCs/>
              </w:rPr>
            </w:pPr>
            <w:bookmarkStart w:id="1" w:name="_Ref87604438"/>
            <w:bookmarkStart w:id="2" w:name="_Ref87604423"/>
            <w:r w:rsidRPr="00FD06DE">
              <w:rPr>
                <w:iCs/>
              </w:rPr>
              <w:t>Interview 4</w:t>
            </w:r>
          </w:p>
        </w:tc>
        <w:tc>
          <w:tcPr>
            <w:tcW w:w="6368" w:type="dxa"/>
            <w:tcBorders>
              <w:top w:val="single" w:sz="4" w:space="0" w:color="auto"/>
              <w:left w:val="single" w:sz="4" w:space="0" w:color="auto"/>
              <w:bottom w:val="single" w:sz="4" w:space="0" w:color="auto"/>
              <w:right w:val="single" w:sz="4" w:space="0" w:color="auto"/>
            </w:tcBorders>
            <w:hideMark/>
          </w:tcPr>
          <w:p w14:paraId="083948EC" w14:textId="77777777" w:rsidR="00FD06DE" w:rsidRPr="00FD06DE" w:rsidRDefault="00FD06DE" w:rsidP="00FD06DE">
            <w:pPr>
              <w:spacing w:line="360" w:lineRule="auto"/>
              <w:ind w:firstLine="0"/>
            </w:pPr>
            <w:r w:rsidRPr="00FD06DE">
              <w:t>Member and coordinator of NVL expert network</w:t>
            </w:r>
          </w:p>
        </w:tc>
        <w:tc>
          <w:tcPr>
            <w:tcW w:w="1705" w:type="dxa"/>
            <w:tcBorders>
              <w:top w:val="single" w:sz="4" w:space="0" w:color="auto"/>
              <w:left w:val="single" w:sz="4" w:space="0" w:color="auto"/>
              <w:bottom w:val="single" w:sz="4" w:space="0" w:color="auto"/>
              <w:right w:val="single" w:sz="4" w:space="0" w:color="auto"/>
            </w:tcBorders>
            <w:hideMark/>
          </w:tcPr>
          <w:p w14:paraId="18AF323F" w14:textId="77777777" w:rsidR="00FD06DE" w:rsidRPr="00FD06DE" w:rsidRDefault="00FD06DE" w:rsidP="00FD06DE">
            <w:pPr>
              <w:spacing w:line="360" w:lineRule="auto"/>
              <w:ind w:firstLine="0"/>
              <w:rPr>
                <w:iCs/>
              </w:rPr>
            </w:pPr>
            <w:r w:rsidRPr="00FD06DE">
              <w:rPr>
                <w:iCs/>
              </w:rPr>
              <w:t>14.01.2020</w:t>
            </w:r>
          </w:p>
        </w:tc>
      </w:tr>
      <w:tr w:rsidR="00FD06DE" w:rsidRPr="00FD06DE" w14:paraId="312545B3" w14:textId="77777777" w:rsidTr="00FD06DE">
        <w:trPr>
          <w:trHeight w:val="410"/>
          <w:jc w:val="center"/>
        </w:trPr>
        <w:tc>
          <w:tcPr>
            <w:tcW w:w="1555" w:type="dxa"/>
            <w:tcBorders>
              <w:top w:val="single" w:sz="4" w:space="0" w:color="auto"/>
              <w:left w:val="single" w:sz="4" w:space="0" w:color="auto"/>
              <w:bottom w:val="single" w:sz="4" w:space="0" w:color="auto"/>
              <w:right w:val="single" w:sz="4" w:space="0" w:color="auto"/>
            </w:tcBorders>
            <w:hideMark/>
          </w:tcPr>
          <w:p w14:paraId="425ADE71" w14:textId="77777777" w:rsidR="00FD06DE" w:rsidRPr="00FD06DE" w:rsidRDefault="00FD06DE" w:rsidP="00FD06DE">
            <w:pPr>
              <w:spacing w:after="200" w:line="360" w:lineRule="auto"/>
              <w:ind w:firstLine="0"/>
              <w:rPr>
                <w:iCs/>
              </w:rPr>
            </w:pPr>
            <w:r w:rsidRPr="00FD06DE">
              <w:rPr>
                <w:iCs/>
              </w:rPr>
              <w:t>Interview 5</w:t>
            </w:r>
          </w:p>
        </w:tc>
        <w:tc>
          <w:tcPr>
            <w:tcW w:w="6368" w:type="dxa"/>
            <w:tcBorders>
              <w:top w:val="single" w:sz="4" w:space="0" w:color="auto"/>
              <w:left w:val="single" w:sz="4" w:space="0" w:color="auto"/>
              <w:bottom w:val="single" w:sz="4" w:space="0" w:color="auto"/>
              <w:right w:val="single" w:sz="4" w:space="0" w:color="auto"/>
            </w:tcBorders>
            <w:hideMark/>
          </w:tcPr>
          <w:p w14:paraId="331466CC" w14:textId="77777777" w:rsidR="00FD06DE" w:rsidRPr="00FD06DE" w:rsidRDefault="00FD06DE" w:rsidP="00FD06DE">
            <w:pPr>
              <w:spacing w:line="360" w:lineRule="auto"/>
              <w:ind w:firstLine="0"/>
            </w:pPr>
            <w:r w:rsidRPr="00FD06DE">
              <w:t>Member and former coordinator of NVL expert network</w:t>
            </w:r>
          </w:p>
        </w:tc>
        <w:tc>
          <w:tcPr>
            <w:tcW w:w="1705" w:type="dxa"/>
            <w:tcBorders>
              <w:top w:val="single" w:sz="4" w:space="0" w:color="auto"/>
              <w:left w:val="single" w:sz="4" w:space="0" w:color="auto"/>
              <w:bottom w:val="single" w:sz="4" w:space="0" w:color="auto"/>
              <w:right w:val="single" w:sz="4" w:space="0" w:color="auto"/>
            </w:tcBorders>
            <w:hideMark/>
          </w:tcPr>
          <w:p w14:paraId="30B88078" w14:textId="77777777" w:rsidR="00FD06DE" w:rsidRPr="00FD06DE" w:rsidRDefault="00FD06DE" w:rsidP="00FD06DE">
            <w:pPr>
              <w:spacing w:line="360" w:lineRule="auto"/>
              <w:ind w:firstLine="0"/>
              <w:rPr>
                <w:iCs/>
              </w:rPr>
            </w:pPr>
            <w:r w:rsidRPr="00FD06DE">
              <w:rPr>
                <w:iCs/>
              </w:rPr>
              <w:t>05.02.2020</w:t>
            </w:r>
          </w:p>
        </w:tc>
      </w:tr>
      <w:tr w:rsidR="00FD06DE" w:rsidRPr="00FD06DE" w14:paraId="22A0EBC7" w14:textId="77777777" w:rsidTr="00FD06DE">
        <w:trPr>
          <w:trHeight w:val="100"/>
          <w:jc w:val="center"/>
        </w:trPr>
        <w:tc>
          <w:tcPr>
            <w:tcW w:w="1555" w:type="dxa"/>
            <w:tcBorders>
              <w:top w:val="nil"/>
              <w:left w:val="single" w:sz="4" w:space="0" w:color="auto"/>
              <w:bottom w:val="nil"/>
              <w:right w:val="single" w:sz="4" w:space="0" w:color="auto"/>
            </w:tcBorders>
            <w:hideMark/>
          </w:tcPr>
          <w:p w14:paraId="7DEFB027" w14:textId="77777777" w:rsidR="00FD06DE" w:rsidRPr="00FD06DE" w:rsidRDefault="00FD06DE" w:rsidP="00FD06DE">
            <w:pPr>
              <w:spacing w:after="200" w:line="360" w:lineRule="auto"/>
              <w:ind w:firstLine="0"/>
              <w:rPr>
                <w:iCs/>
              </w:rPr>
            </w:pPr>
            <w:r w:rsidRPr="00FD06DE">
              <w:rPr>
                <w:iCs/>
              </w:rPr>
              <w:t>Interview 6</w:t>
            </w:r>
          </w:p>
        </w:tc>
        <w:tc>
          <w:tcPr>
            <w:tcW w:w="6368" w:type="dxa"/>
            <w:tcBorders>
              <w:top w:val="single" w:sz="4" w:space="0" w:color="auto"/>
              <w:left w:val="nil"/>
              <w:bottom w:val="single" w:sz="4" w:space="0" w:color="auto"/>
              <w:right w:val="single" w:sz="4" w:space="0" w:color="auto"/>
            </w:tcBorders>
            <w:hideMark/>
          </w:tcPr>
          <w:p w14:paraId="6F45B6FC" w14:textId="77777777" w:rsidR="00FD06DE" w:rsidRPr="00FD06DE" w:rsidRDefault="00FD06DE" w:rsidP="00FD06DE">
            <w:pPr>
              <w:spacing w:line="360" w:lineRule="auto"/>
              <w:ind w:firstLine="0"/>
            </w:pPr>
            <w:r w:rsidRPr="00FD06DE">
              <w:t>National coordinator of NVL expert networks</w:t>
            </w:r>
          </w:p>
        </w:tc>
        <w:tc>
          <w:tcPr>
            <w:tcW w:w="1705" w:type="dxa"/>
            <w:tcBorders>
              <w:top w:val="single" w:sz="4" w:space="0" w:color="auto"/>
              <w:left w:val="nil"/>
              <w:bottom w:val="single" w:sz="4" w:space="0" w:color="auto"/>
              <w:right w:val="single" w:sz="4" w:space="0" w:color="auto"/>
            </w:tcBorders>
            <w:hideMark/>
          </w:tcPr>
          <w:p w14:paraId="6089D443" w14:textId="77777777" w:rsidR="00FD06DE" w:rsidRPr="00FD06DE" w:rsidRDefault="00FD06DE" w:rsidP="00FD06DE">
            <w:pPr>
              <w:spacing w:line="360" w:lineRule="auto"/>
              <w:ind w:firstLine="0"/>
              <w:rPr>
                <w:iCs/>
              </w:rPr>
            </w:pPr>
            <w:r w:rsidRPr="00FD06DE">
              <w:rPr>
                <w:iCs/>
              </w:rPr>
              <w:t>05.02.2020</w:t>
            </w:r>
          </w:p>
        </w:tc>
      </w:tr>
      <w:tr w:rsidR="00FD06DE" w:rsidRPr="00FD06DE" w14:paraId="4E04BFF7" w14:textId="77777777" w:rsidTr="00FD06DE">
        <w:trPr>
          <w:trHeight w:val="380"/>
          <w:jc w:val="center"/>
        </w:trPr>
        <w:tc>
          <w:tcPr>
            <w:tcW w:w="1555" w:type="dxa"/>
            <w:tcBorders>
              <w:top w:val="single" w:sz="4" w:space="0" w:color="auto"/>
              <w:left w:val="single" w:sz="4" w:space="0" w:color="auto"/>
              <w:bottom w:val="single" w:sz="4" w:space="0" w:color="auto"/>
              <w:right w:val="single" w:sz="4" w:space="0" w:color="auto"/>
            </w:tcBorders>
            <w:hideMark/>
          </w:tcPr>
          <w:p w14:paraId="1281F82E" w14:textId="77777777" w:rsidR="00FD06DE" w:rsidRPr="00FD06DE" w:rsidRDefault="00FD06DE" w:rsidP="00FD06DE">
            <w:pPr>
              <w:spacing w:after="200" w:line="360" w:lineRule="auto"/>
              <w:ind w:firstLine="0"/>
              <w:rPr>
                <w:iCs/>
              </w:rPr>
            </w:pPr>
            <w:r w:rsidRPr="00FD06DE">
              <w:rPr>
                <w:iCs/>
              </w:rPr>
              <w:t>Interview 7</w:t>
            </w:r>
          </w:p>
        </w:tc>
        <w:tc>
          <w:tcPr>
            <w:tcW w:w="6368" w:type="dxa"/>
            <w:tcBorders>
              <w:top w:val="single" w:sz="4" w:space="0" w:color="auto"/>
              <w:left w:val="single" w:sz="4" w:space="0" w:color="auto"/>
              <w:bottom w:val="single" w:sz="4" w:space="0" w:color="auto"/>
              <w:right w:val="single" w:sz="4" w:space="0" w:color="auto"/>
            </w:tcBorders>
            <w:hideMark/>
          </w:tcPr>
          <w:p w14:paraId="1F1AA9BF" w14:textId="77777777" w:rsidR="00FD06DE" w:rsidRPr="00FD06DE" w:rsidRDefault="00FD06DE" w:rsidP="00FD06DE">
            <w:pPr>
              <w:spacing w:line="360" w:lineRule="auto"/>
              <w:ind w:firstLine="0"/>
            </w:pPr>
            <w:r w:rsidRPr="00FD06DE">
              <w:t>Member of NVL expert network</w:t>
            </w:r>
          </w:p>
        </w:tc>
        <w:tc>
          <w:tcPr>
            <w:tcW w:w="1705" w:type="dxa"/>
            <w:tcBorders>
              <w:top w:val="single" w:sz="4" w:space="0" w:color="auto"/>
              <w:left w:val="single" w:sz="4" w:space="0" w:color="auto"/>
              <w:bottom w:val="single" w:sz="4" w:space="0" w:color="auto"/>
              <w:right w:val="single" w:sz="4" w:space="0" w:color="auto"/>
            </w:tcBorders>
            <w:hideMark/>
          </w:tcPr>
          <w:p w14:paraId="5CEEBE3B" w14:textId="77777777" w:rsidR="00FD06DE" w:rsidRPr="00FD06DE" w:rsidRDefault="00FD06DE" w:rsidP="00FD06DE">
            <w:pPr>
              <w:spacing w:line="360" w:lineRule="auto"/>
              <w:ind w:firstLine="0"/>
              <w:rPr>
                <w:iCs/>
              </w:rPr>
            </w:pPr>
            <w:r w:rsidRPr="00FD06DE">
              <w:rPr>
                <w:iCs/>
              </w:rPr>
              <w:t>01.11.2021</w:t>
            </w:r>
          </w:p>
        </w:tc>
      </w:tr>
      <w:tr w:rsidR="00FD06DE" w:rsidRPr="00FD06DE" w14:paraId="548CAFA6" w14:textId="77777777" w:rsidTr="00FD06DE">
        <w:trPr>
          <w:trHeight w:val="433"/>
          <w:jc w:val="center"/>
        </w:trPr>
        <w:tc>
          <w:tcPr>
            <w:tcW w:w="1555" w:type="dxa"/>
            <w:tcBorders>
              <w:top w:val="single" w:sz="4" w:space="0" w:color="auto"/>
              <w:left w:val="single" w:sz="4" w:space="0" w:color="auto"/>
              <w:bottom w:val="single" w:sz="4" w:space="0" w:color="auto"/>
              <w:right w:val="single" w:sz="4" w:space="0" w:color="auto"/>
            </w:tcBorders>
            <w:hideMark/>
          </w:tcPr>
          <w:p w14:paraId="27453B1A" w14:textId="77777777" w:rsidR="00FD06DE" w:rsidRPr="00FD06DE" w:rsidRDefault="00FD06DE" w:rsidP="00FD06DE">
            <w:pPr>
              <w:spacing w:after="240" w:line="360" w:lineRule="auto"/>
              <w:ind w:firstLine="0"/>
            </w:pPr>
            <w:r w:rsidRPr="00FD06DE">
              <w:t>Interview 8</w:t>
            </w:r>
          </w:p>
        </w:tc>
        <w:tc>
          <w:tcPr>
            <w:tcW w:w="6368" w:type="dxa"/>
            <w:tcBorders>
              <w:top w:val="single" w:sz="4" w:space="0" w:color="auto"/>
              <w:left w:val="single" w:sz="4" w:space="0" w:color="auto"/>
              <w:bottom w:val="single" w:sz="4" w:space="0" w:color="auto"/>
              <w:right w:val="single" w:sz="4" w:space="0" w:color="auto"/>
            </w:tcBorders>
            <w:hideMark/>
          </w:tcPr>
          <w:p w14:paraId="25F91C27" w14:textId="77777777" w:rsidR="00FD06DE" w:rsidRPr="00FD06DE" w:rsidRDefault="00FD06DE" w:rsidP="00FD06DE">
            <w:pPr>
              <w:spacing w:line="360" w:lineRule="auto"/>
              <w:ind w:firstLine="0"/>
            </w:pPr>
            <w:r w:rsidRPr="00FD06DE">
              <w:t>National coordinator of NVL expert networks</w:t>
            </w:r>
          </w:p>
        </w:tc>
        <w:tc>
          <w:tcPr>
            <w:tcW w:w="1705" w:type="dxa"/>
            <w:tcBorders>
              <w:top w:val="single" w:sz="4" w:space="0" w:color="auto"/>
              <w:left w:val="single" w:sz="4" w:space="0" w:color="auto"/>
              <w:bottom w:val="single" w:sz="4" w:space="0" w:color="auto"/>
              <w:right w:val="single" w:sz="4" w:space="0" w:color="auto"/>
            </w:tcBorders>
            <w:hideMark/>
          </w:tcPr>
          <w:p w14:paraId="60B9D77D" w14:textId="77777777" w:rsidR="00FD06DE" w:rsidRPr="00FD06DE" w:rsidRDefault="00FD06DE" w:rsidP="00FD06DE">
            <w:pPr>
              <w:spacing w:line="360" w:lineRule="auto"/>
              <w:ind w:firstLine="0"/>
              <w:rPr>
                <w:iCs/>
              </w:rPr>
            </w:pPr>
            <w:r w:rsidRPr="00FD06DE">
              <w:rPr>
                <w:iCs/>
              </w:rPr>
              <w:t>01.11.2021</w:t>
            </w:r>
          </w:p>
        </w:tc>
      </w:tr>
      <w:tr w:rsidR="00FD06DE" w:rsidRPr="00FD06DE" w14:paraId="351337FF" w14:textId="77777777" w:rsidTr="00FD06DE">
        <w:trPr>
          <w:trHeight w:val="380"/>
          <w:jc w:val="center"/>
        </w:trPr>
        <w:tc>
          <w:tcPr>
            <w:tcW w:w="1555" w:type="dxa"/>
            <w:tcBorders>
              <w:top w:val="single" w:sz="4" w:space="0" w:color="auto"/>
              <w:left w:val="single" w:sz="4" w:space="0" w:color="auto"/>
              <w:bottom w:val="single" w:sz="4" w:space="0" w:color="auto"/>
              <w:right w:val="single" w:sz="4" w:space="0" w:color="auto"/>
            </w:tcBorders>
            <w:hideMark/>
          </w:tcPr>
          <w:p w14:paraId="343B59F5" w14:textId="77777777" w:rsidR="00FD06DE" w:rsidRPr="00FD06DE" w:rsidRDefault="00FD06DE" w:rsidP="00FD06DE">
            <w:pPr>
              <w:spacing w:after="200" w:line="360" w:lineRule="auto"/>
              <w:ind w:firstLine="0"/>
              <w:rPr>
                <w:iCs/>
              </w:rPr>
            </w:pPr>
            <w:r w:rsidRPr="00FD06DE">
              <w:rPr>
                <w:iCs/>
              </w:rPr>
              <w:t>Interview 9</w:t>
            </w:r>
          </w:p>
        </w:tc>
        <w:tc>
          <w:tcPr>
            <w:tcW w:w="6368" w:type="dxa"/>
            <w:tcBorders>
              <w:top w:val="single" w:sz="4" w:space="0" w:color="auto"/>
              <w:left w:val="single" w:sz="4" w:space="0" w:color="auto"/>
              <w:bottom w:val="single" w:sz="4" w:space="0" w:color="auto"/>
              <w:right w:val="single" w:sz="4" w:space="0" w:color="auto"/>
            </w:tcBorders>
            <w:hideMark/>
          </w:tcPr>
          <w:p w14:paraId="63F6DFFF" w14:textId="77777777" w:rsidR="00FD06DE" w:rsidRPr="00FD06DE" w:rsidRDefault="00FD06DE" w:rsidP="00FD06DE">
            <w:pPr>
              <w:spacing w:after="200" w:line="360" w:lineRule="auto"/>
              <w:ind w:firstLine="0"/>
              <w:rPr>
                <w:iCs/>
              </w:rPr>
            </w:pPr>
            <w:r w:rsidRPr="00FD06DE">
              <w:rPr>
                <w:iCs/>
              </w:rPr>
              <w:t>Member of NVL expert network</w:t>
            </w:r>
          </w:p>
        </w:tc>
        <w:tc>
          <w:tcPr>
            <w:tcW w:w="1705" w:type="dxa"/>
            <w:tcBorders>
              <w:top w:val="single" w:sz="4" w:space="0" w:color="auto"/>
              <w:left w:val="single" w:sz="4" w:space="0" w:color="auto"/>
              <w:bottom w:val="single" w:sz="4" w:space="0" w:color="auto"/>
              <w:right w:val="single" w:sz="4" w:space="0" w:color="auto"/>
            </w:tcBorders>
            <w:hideMark/>
          </w:tcPr>
          <w:p w14:paraId="10FC2B3B" w14:textId="77777777" w:rsidR="00FD06DE" w:rsidRPr="00FD06DE" w:rsidRDefault="00FD06DE" w:rsidP="00FD06DE">
            <w:pPr>
              <w:spacing w:after="200" w:line="360" w:lineRule="auto"/>
              <w:ind w:firstLine="0"/>
              <w:rPr>
                <w:iCs/>
              </w:rPr>
            </w:pPr>
            <w:r w:rsidRPr="00FD06DE">
              <w:rPr>
                <w:iCs/>
              </w:rPr>
              <w:t>10.11.2021</w:t>
            </w:r>
          </w:p>
        </w:tc>
      </w:tr>
      <w:tr w:rsidR="00FD06DE" w:rsidRPr="00FD06DE" w14:paraId="12946E4B" w14:textId="77777777" w:rsidTr="00FD06DE">
        <w:trPr>
          <w:trHeight w:val="440"/>
          <w:jc w:val="center"/>
        </w:trPr>
        <w:tc>
          <w:tcPr>
            <w:tcW w:w="1555" w:type="dxa"/>
            <w:tcBorders>
              <w:top w:val="single" w:sz="4" w:space="0" w:color="auto"/>
              <w:left w:val="single" w:sz="4" w:space="0" w:color="auto"/>
              <w:bottom w:val="single" w:sz="4" w:space="0" w:color="auto"/>
              <w:right w:val="single" w:sz="4" w:space="0" w:color="auto"/>
            </w:tcBorders>
            <w:hideMark/>
          </w:tcPr>
          <w:p w14:paraId="3D580901" w14:textId="77777777" w:rsidR="00FD06DE" w:rsidRPr="00FD06DE" w:rsidRDefault="00FD06DE" w:rsidP="00FD06DE">
            <w:pPr>
              <w:spacing w:after="200" w:line="360" w:lineRule="auto"/>
              <w:ind w:firstLine="0"/>
              <w:rPr>
                <w:iCs/>
              </w:rPr>
            </w:pPr>
            <w:r w:rsidRPr="00FD06DE">
              <w:rPr>
                <w:iCs/>
              </w:rPr>
              <w:t>Interview 10</w:t>
            </w:r>
          </w:p>
        </w:tc>
        <w:tc>
          <w:tcPr>
            <w:tcW w:w="6368" w:type="dxa"/>
            <w:tcBorders>
              <w:top w:val="single" w:sz="4" w:space="0" w:color="auto"/>
              <w:left w:val="single" w:sz="4" w:space="0" w:color="auto"/>
              <w:bottom w:val="single" w:sz="4" w:space="0" w:color="auto"/>
              <w:right w:val="single" w:sz="4" w:space="0" w:color="auto"/>
            </w:tcBorders>
            <w:hideMark/>
          </w:tcPr>
          <w:p w14:paraId="755E3D42" w14:textId="77777777" w:rsidR="00FD06DE" w:rsidRPr="00FD06DE" w:rsidRDefault="00FD06DE" w:rsidP="00FD06DE">
            <w:pPr>
              <w:spacing w:after="200" w:line="360" w:lineRule="auto"/>
              <w:ind w:firstLine="0"/>
              <w:rPr>
                <w:iCs/>
              </w:rPr>
            </w:pPr>
            <w:r w:rsidRPr="00FD06DE">
              <w:rPr>
                <w:iCs/>
              </w:rPr>
              <w:t>Member of NVL expert network</w:t>
            </w:r>
          </w:p>
        </w:tc>
        <w:tc>
          <w:tcPr>
            <w:tcW w:w="1705" w:type="dxa"/>
            <w:tcBorders>
              <w:top w:val="single" w:sz="4" w:space="0" w:color="auto"/>
              <w:left w:val="single" w:sz="4" w:space="0" w:color="auto"/>
              <w:bottom w:val="single" w:sz="4" w:space="0" w:color="auto"/>
              <w:right w:val="single" w:sz="4" w:space="0" w:color="auto"/>
            </w:tcBorders>
            <w:hideMark/>
          </w:tcPr>
          <w:p w14:paraId="3B60FB46" w14:textId="77777777" w:rsidR="00FD06DE" w:rsidRPr="00FD06DE" w:rsidRDefault="00FD06DE" w:rsidP="00FD06DE">
            <w:pPr>
              <w:spacing w:after="200" w:line="360" w:lineRule="auto"/>
              <w:ind w:firstLine="0"/>
              <w:rPr>
                <w:iCs/>
              </w:rPr>
            </w:pPr>
            <w:r w:rsidRPr="00FD06DE">
              <w:rPr>
                <w:iCs/>
              </w:rPr>
              <w:t>10.11.2021</w:t>
            </w:r>
          </w:p>
        </w:tc>
      </w:tr>
    </w:tbl>
    <w:p w14:paraId="6358001F" w14:textId="16D61A3D" w:rsidR="00FD06DE" w:rsidRPr="00FD06DE" w:rsidRDefault="00FD06DE" w:rsidP="00FD06DE">
      <w:pPr>
        <w:spacing w:after="200" w:line="360" w:lineRule="auto"/>
        <w:ind w:firstLine="0"/>
        <w:rPr>
          <w:i/>
          <w:iCs/>
        </w:rPr>
      </w:pPr>
      <w:r w:rsidRPr="00FD06DE">
        <w:rPr>
          <w:i/>
          <w:iCs/>
        </w:rPr>
        <w:t xml:space="preserve">Table </w:t>
      </w:r>
      <w:r>
        <w:rPr>
          <w:i/>
          <w:iCs/>
        </w:rPr>
        <w:t>7.1</w:t>
      </w:r>
      <w:bookmarkEnd w:id="1"/>
      <w:r w:rsidRPr="00FD06DE">
        <w:rPr>
          <w:i/>
          <w:iCs/>
        </w:rPr>
        <w:t xml:space="preserve">: </w:t>
      </w:r>
      <w:bookmarkStart w:id="3" w:name="_Ref87604447"/>
      <w:r w:rsidRPr="00FD06DE">
        <w:rPr>
          <w:i/>
          <w:iCs/>
        </w:rPr>
        <w:t>Interviewees, their roles and the date of interview</w:t>
      </w:r>
      <w:bookmarkEnd w:id="2"/>
      <w:bookmarkEnd w:id="3"/>
    </w:p>
    <w:p w14:paraId="2227FD8F" w14:textId="39CFD4F3" w:rsidR="001F2BEE" w:rsidRDefault="001F2BEE" w:rsidP="00A718C4">
      <w:pPr>
        <w:spacing w:line="360" w:lineRule="auto"/>
      </w:pPr>
    </w:p>
    <w:p w14:paraId="640FEBBC" w14:textId="63A11BDF" w:rsidR="003F5745" w:rsidRDefault="00B7713D" w:rsidP="00A718C4">
      <w:pPr>
        <w:spacing w:line="360" w:lineRule="auto"/>
      </w:pPr>
      <w:r>
        <w:t>The interviews were coded based on the concepts contained in the 15 hypotheses on policy learning from Nedergaard (2009)</w:t>
      </w:r>
      <w:r w:rsidR="00BF19F9">
        <w:t>.</w:t>
      </w:r>
      <w:r>
        <w:t xml:space="preserve"> </w:t>
      </w:r>
      <w:r w:rsidR="00327439">
        <w:t>These ‘recording units’ were analysed by both authors independent</w:t>
      </w:r>
      <w:r w:rsidR="008946AF">
        <w:t>ly</w:t>
      </w:r>
      <w:r w:rsidR="00327439">
        <w:t xml:space="preserve"> of each other to increase intercoding reliability (Bryman, 2012, p. 304).</w:t>
      </w:r>
    </w:p>
    <w:p w14:paraId="6291C53C" w14:textId="77777777" w:rsidR="003F5745" w:rsidRPr="003E3F94" w:rsidRDefault="003F5745" w:rsidP="00A718C4">
      <w:pPr>
        <w:spacing w:line="360" w:lineRule="auto"/>
      </w:pPr>
    </w:p>
    <w:p w14:paraId="6AEEE9D5" w14:textId="42D05978" w:rsidR="00DF7EF3" w:rsidRPr="00E131BE" w:rsidRDefault="00BF19F9" w:rsidP="00A718C4">
      <w:pPr>
        <w:pStyle w:val="Heading1"/>
        <w:rPr>
          <w:i/>
        </w:rPr>
      </w:pPr>
      <w:r>
        <w:t xml:space="preserve">A presentation of </w:t>
      </w:r>
      <w:r w:rsidR="00022CB7">
        <w:t xml:space="preserve">NVL </w:t>
      </w:r>
    </w:p>
    <w:p w14:paraId="6ED4282E" w14:textId="5D03CB74" w:rsidR="00517382" w:rsidRDefault="00517382" w:rsidP="00A718C4">
      <w:pPr>
        <w:spacing w:line="360" w:lineRule="auto"/>
      </w:pPr>
      <w:r>
        <w:t xml:space="preserve">NVL was </w:t>
      </w:r>
      <w:r w:rsidR="00745FCA">
        <w:t>set up</w:t>
      </w:r>
      <w:r w:rsidR="004C54F5">
        <w:t xml:space="preserve"> in 2005</w:t>
      </w:r>
      <w:r>
        <w:t xml:space="preserve"> because adult learning was a policy area with increasing salience in all Nordic countries. In addition, it was an area where Nordic education ministers saw a potential for harvesting economies of scale through cooperation (Nordisk Network for Adult Learning 202</w:t>
      </w:r>
      <w:r w:rsidR="00EF59C5">
        <w:t>1b</w:t>
      </w:r>
      <w:r>
        <w:t xml:space="preserve">). The salience of adult learning was and is due to the need to </w:t>
      </w:r>
      <w:r w:rsidR="00327439">
        <w:t xml:space="preserve">continuously </w:t>
      </w:r>
      <w:r>
        <w:t xml:space="preserve">upgrade the Nordic labour market in general and for </w:t>
      </w:r>
      <w:r w:rsidR="00327439">
        <w:t xml:space="preserve">foreigners arriving in the Nordic countries </w:t>
      </w:r>
      <w:r>
        <w:t>in particular (Prøitz &amp; Aasen 2017).</w:t>
      </w:r>
      <w:r w:rsidR="00031059">
        <w:t xml:space="preserve"> </w:t>
      </w:r>
    </w:p>
    <w:p w14:paraId="287B91D1" w14:textId="2509EAED" w:rsidR="006F04CE" w:rsidRDefault="002F5709" w:rsidP="00A718C4">
      <w:pPr>
        <w:spacing w:line="360" w:lineRule="auto"/>
      </w:pPr>
      <w:r>
        <w:t>T</w:t>
      </w:r>
      <w:r w:rsidR="00F80136" w:rsidRPr="009E4242">
        <w:t xml:space="preserve">he Nordic Council of Ministers funds </w:t>
      </w:r>
      <w:r>
        <w:t>NVL</w:t>
      </w:r>
      <w:r w:rsidR="00C4035C">
        <w:t xml:space="preserve"> </w:t>
      </w:r>
      <w:r w:rsidR="00B03279">
        <w:t>and</w:t>
      </w:r>
      <w:r w:rsidR="00821426">
        <w:t>, thereby,</w:t>
      </w:r>
      <w:r w:rsidR="00B03279">
        <w:t xml:space="preserve"> exerts</w:t>
      </w:r>
      <w:r w:rsidR="00C91C42">
        <w:t xml:space="preserve"> a “</w:t>
      </w:r>
      <w:r w:rsidR="00C91C42" w:rsidRPr="003E3F94">
        <w:rPr>
          <w:i/>
          <w:iCs/>
        </w:rPr>
        <w:t>soft pressure through political priorities</w:t>
      </w:r>
      <w:r w:rsidR="00C91C42">
        <w:t xml:space="preserve">” on </w:t>
      </w:r>
      <w:r w:rsidR="007526D7" w:rsidRPr="009E4242">
        <w:t>NVL</w:t>
      </w:r>
      <w:r w:rsidR="00C91C42">
        <w:t xml:space="preserve"> (Interview 1). </w:t>
      </w:r>
    </w:p>
    <w:p w14:paraId="023C4A57" w14:textId="7876E172" w:rsidR="006A54CA" w:rsidRPr="006A54CA" w:rsidRDefault="006F04CE" w:rsidP="00A718C4">
      <w:pPr>
        <w:spacing w:line="360" w:lineRule="auto"/>
        <w:rPr>
          <w:lang w:val="en-US"/>
        </w:rPr>
      </w:pPr>
      <w:r w:rsidRPr="006F04CE">
        <w:t xml:space="preserve">Policy learning in NVL is helped by the fact that there seems to be a ‘Nordic model’ for adult education. In the policy learning literature, </w:t>
      </w:r>
      <w:r w:rsidR="00A67256">
        <w:t xml:space="preserve">it is assumed that </w:t>
      </w:r>
      <w:r w:rsidRPr="006F04CE">
        <w:t xml:space="preserve">policy learning </w:t>
      </w:r>
      <w:r w:rsidR="00A67256">
        <w:t xml:space="preserve">from other countries </w:t>
      </w:r>
      <w:r w:rsidRPr="006F04CE">
        <w:t xml:space="preserve">is more likely if “the policy is consistent with the dominant political ideology in the ‘host country’” or if there is some kind of ‘value </w:t>
      </w:r>
      <w:r w:rsidR="006F2CBA" w:rsidRPr="006F04CE">
        <w:t>consensus</w:t>
      </w:r>
      <w:r w:rsidR="006F2CBA">
        <w:t>’</w:t>
      </w:r>
      <w:r w:rsidRPr="006F04CE">
        <w:t xml:space="preserve"> among the countries learning from each other (Dolowitz &amp; March, 1996, p. 354). </w:t>
      </w:r>
      <w:r w:rsidR="006A54CA" w:rsidRPr="006A54CA">
        <w:rPr>
          <w:lang w:val="en-US"/>
        </w:rPr>
        <w:t xml:space="preserve">An example </w:t>
      </w:r>
      <w:r w:rsidR="00A67256">
        <w:rPr>
          <w:lang w:val="en-US"/>
        </w:rPr>
        <w:t>o</w:t>
      </w:r>
      <w:r w:rsidR="00BF4200">
        <w:rPr>
          <w:lang w:val="en-US"/>
        </w:rPr>
        <w:t>f</w:t>
      </w:r>
      <w:r w:rsidR="00A67256">
        <w:rPr>
          <w:lang w:val="en-US"/>
        </w:rPr>
        <w:t xml:space="preserve"> th</w:t>
      </w:r>
      <w:r w:rsidR="00402FF0">
        <w:rPr>
          <w:lang w:val="en-US"/>
        </w:rPr>
        <w:t>is</w:t>
      </w:r>
      <w:r w:rsidR="00A67256">
        <w:rPr>
          <w:lang w:val="en-US"/>
        </w:rPr>
        <w:t xml:space="preserve"> is </w:t>
      </w:r>
      <w:r w:rsidR="006A54CA" w:rsidRPr="006A54CA">
        <w:rPr>
          <w:lang w:val="en-US"/>
        </w:rPr>
        <w:t xml:space="preserve">from the NVL network on education in prisons. As </w:t>
      </w:r>
      <w:r w:rsidR="00A67256">
        <w:rPr>
          <w:lang w:val="en-US"/>
        </w:rPr>
        <w:t>an</w:t>
      </w:r>
      <w:r w:rsidR="006A54CA" w:rsidRPr="006A54CA">
        <w:rPr>
          <w:lang w:val="en-US"/>
        </w:rPr>
        <w:t xml:space="preserve"> interviewee said: “</w:t>
      </w:r>
      <w:r w:rsidR="006A54CA" w:rsidRPr="006A54CA">
        <w:rPr>
          <w:i/>
          <w:lang w:val="en-US"/>
        </w:rPr>
        <w:t>I know that we are based on the same values, at least in the Nordic network. With the same norms of a humane prison service. And everyone has the ambition that inmates should come out ‘better’</w:t>
      </w:r>
      <w:r w:rsidR="006A54CA" w:rsidRPr="006A54CA">
        <w:rPr>
          <w:lang w:val="en-US"/>
        </w:rPr>
        <w:t>” (Interview 3).</w:t>
      </w:r>
      <w:r w:rsidR="006F2CBA">
        <w:rPr>
          <w:lang w:val="en-US"/>
        </w:rPr>
        <w:t xml:space="preserve"> Hence, the NVL is a fine example of the raison d’etre of the Nordic Council of Ministers.</w:t>
      </w:r>
    </w:p>
    <w:p w14:paraId="202126AF" w14:textId="5BEFE6DB" w:rsidR="006F04CE" w:rsidRPr="006F04CE" w:rsidRDefault="00327439" w:rsidP="00A718C4">
      <w:pPr>
        <w:spacing w:line="360" w:lineRule="auto"/>
        <w:rPr>
          <w:b/>
        </w:rPr>
      </w:pPr>
      <w:r>
        <w:t xml:space="preserve">However, the consensus in NVL is far from complete. </w:t>
      </w:r>
      <w:r w:rsidR="006F04CE" w:rsidRPr="006F04CE">
        <w:t>There is also a “</w:t>
      </w:r>
      <w:r w:rsidR="006F04CE" w:rsidRPr="006F04CE">
        <w:rPr>
          <w:i/>
          <w:iCs/>
        </w:rPr>
        <w:t xml:space="preserve">diversity that I see as a gift in my Nordic and NN </w:t>
      </w:r>
      <w:r w:rsidR="006F04CE" w:rsidRPr="00BF19F9">
        <w:rPr>
          <w:iCs/>
        </w:rPr>
        <w:t>[the name of the country is mentioned]</w:t>
      </w:r>
      <w:r w:rsidR="006F04CE" w:rsidRPr="006F04CE">
        <w:rPr>
          <w:i/>
          <w:iCs/>
        </w:rPr>
        <w:t xml:space="preserve"> networks – if participants learn from and with each other, then </w:t>
      </w:r>
      <w:r w:rsidR="00C71913">
        <w:rPr>
          <w:i/>
          <w:iCs/>
        </w:rPr>
        <w:t>that</w:t>
      </w:r>
      <w:r w:rsidR="006F04CE" w:rsidRPr="006F04CE">
        <w:rPr>
          <w:i/>
          <w:iCs/>
        </w:rPr>
        <w:t xml:space="preserve"> ensures a different and often more nuanced and deep form of learning</w:t>
      </w:r>
      <w:r w:rsidR="006F04CE" w:rsidRPr="006F04CE">
        <w:t xml:space="preserve">” (Interview 2).  </w:t>
      </w:r>
    </w:p>
    <w:p w14:paraId="4CA0D174" w14:textId="5199275C" w:rsidR="006F04CE" w:rsidRPr="006F04CE" w:rsidRDefault="00DA1BE5" w:rsidP="00A718C4">
      <w:pPr>
        <w:spacing w:line="360" w:lineRule="auto"/>
      </w:pPr>
      <w:r>
        <w:t>T</w:t>
      </w:r>
      <w:r w:rsidR="00BF4788" w:rsidRPr="00BF4788">
        <w:t xml:space="preserve">he </w:t>
      </w:r>
      <w:r>
        <w:t xml:space="preserve">NVL </w:t>
      </w:r>
      <w:r w:rsidR="00BF4788" w:rsidRPr="00BF4788">
        <w:t>network members are made up of relevant actors across various sectors. Amongst the represented institutions are national agencies, ministries, colleges and universities, language centres, municipalities</w:t>
      </w:r>
      <w:r w:rsidR="00D14C93">
        <w:t>,</w:t>
      </w:r>
      <w:r w:rsidR="00BF4788" w:rsidRPr="00BF4788">
        <w:t xml:space="preserve"> </w:t>
      </w:r>
      <w:r w:rsidR="00D14C93">
        <w:t>and</w:t>
      </w:r>
      <w:r w:rsidR="00BF4788" w:rsidRPr="00BF4788">
        <w:t xml:space="preserve"> penitentiary care </w:t>
      </w:r>
      <w:r w:rsidR="00BF4788" w:rsidRPr="00BF4788">
        <w:fldChar w:fldCharType="begin"/>
      </w:r>
      <w:r w:rsidR="00BF4788" w:rsidRPr="00BF4788">
        <w:instrText xml:space="preserve"> ADDIN ZOTERO_ITEM CSL_CITATION {"citationID":"omcH9pD8","properties":{"formattedCitation":"(Nordic Network for Adult Learning, 2020)","plainCitation":"(Nordic Network for Adult Learning, 2020)","noteIndex":0},"citationItems":[{"id":1187,"uris":["http://zotero.org/users/7744878/items/D2LQFLXI"],"uri":["http://zotero.org/users/7744878/items/D2LQFLXI"],"itemData":{"id":1187,"type":"report","title":"NVL:s årsberättelse 2020","URL":"https://nvl.org/Portals/0/_dokumenter/2021/rapporter/NVL-Arsberattelse-2020.pdf","collection-editor":[{"family":"Carlsen","given":"Antra"}],"author":[{"literal":"Nordic Network for Adult Learning"}],"accessed":{"date-parts":[["2022",2,15]]},"issued":{"date-parts":[["2020"]]}}}],"schema":"https://github.com/citation-style-language/schema/raw/master/csl-citation.json"} </w:instrText>
      </w:r>
      <w:r w:rsidR="00BF4788" w:rsidRPr="00BF4788">
        <w:fldChar w:fldCharType="separate"/>
      </w:r>
      <w:r w:rsidR="00BF4788" w:rsidRPr="00BF4788">
        <w:t>(Nordic Network for Adult Learning, 2020)</w:t>
      </w:r>
      <w:r w:rsidR="00BF4788" w:rsidRPr="00BF4788">
        <w:fldChar w:fldCharType="end"/>
      </w:r>
      <w:r w:rsidR="00BF4788" w:rsidRPr="00BF4788">
        <w:t>.</w:t>
      </w:r>
      <w:r w:rsidR="00A71425">
        <w:t xml:space="preserve"> </w:t>
      </w:r>
      <w:r w:rsidR="006F04CE" w:rsidRPr="006F04CE">
        <w:t>Executively, NVL consists of one head coordinator and eight country coordinators from each of the five Nordic countries – Sweden, Norway, Iceland, Finland and Denmark - as well as from the three autonomous areas of Faroe Islands, Åland Islands, and Greenland. The head coordinator is both the “</w:t>
      </w:r>
      <w:r w:rsidR="006F04CE" w:rsidRPr="006F04CE">
        <w:rPr>
          <w:i/>
        </w:rPr>
        <w:t>face and voice</w:t>
      </w:r>
      <w:r w:rsidR="006F04CE" w:rsidRPr="006F04CE">
        <w:t>” of NVL and takes care of the connection to the Civil Servant Committee for Education – the steering committee of NVL - within the Nordic Council of Ministers for Education (Interview 1). The head coordinator is also a coach as well as a “</w:t>
      </w:r>
      <w:r w:rsidR="006F04CE" w:rsidRPr="006F04CE">
        <w:rPr>
          <w:i/>
        </w:rPr>
        <w:t>neutral actor</w:t>
      </w:r>
      <w:r w:rsidR="006F04CE" w:rsidRPr="006F04CE">
        <w:t xml:space="preserve">” for all networks of NVL. </w:t>
      </w:r>
    </w:p>
    <w:p w14:paraId="50903771" w14:textId="5783D7E2" w:rsidR="006F04CE" w:rsidRPr="006F04CE" w:rsidRDefault="006F04CE" w:rsidP="00A718C4">
      <w:pPr>
        <w:spacing w:line="360" w:lineRule="auto"/>
      </w:pPr>
      <w:r w:rsidRPr="006F04CE">
        <w:t>The main task of the eight country coordinators is “</w:t>
      </w:r>
      <w:r w:rsidRPr="006F04CE">
        <w:rPr>
          <w:i/>
        </w:rPr>
        <w:t>to know what goes on within adult education in their respective countries</w:t>
      </w:r>
      <w:r w:rsidRPr="006F04CE">
        <w:t>” (Interview 1)</w:t>
      </w:r>
      <w:r w:rsidR="00A67256">
        <w:t>.</w:t>
      </w:r>
      <w:r w:rsidRPr="006F04CE">
        <w:t xml:space="preserve"> The country coordinators – at least in Finland, Sweden, Denmark and Norway – often have an adult education reference group “</w:t>
      </w:r>
      <w:r w:rsidRPr="006F04CE">
        <w:rPr>
          <w:i/>
        </w:rPr>
        <w:t>that consists of many actors from the field of adult education – umbrella organisations, social partners and practical actors, educational institutions, municipalities, NGOs etc</w:t>
      </w:r>
      <w:r w:rsidRPr="006F04CE">
        <w:t>.” (Interview 2). This also means that country coordinators “</w:t>
      </w:r>
      <w:r w:rsidRPr="006F04CE">
        <w:rPr>
          <w:i/>
        </w:rPr>
        <w:t>have a responsibility to disseminate the results from NVL</w:t>
      </w:r>
      <w:r w:rsidRPr="006F04CE">
        <w:t>” and to ensure that actors “</w:t>
      </w:r>
      <w:r w:rsidRPr="006F04CE">
        <w:rPr>
          <w:i/>
        </w:rPr>
        <w:t>work nationally with themes and areas that NVL works with</w:t>
      </w:r>
      <w:r w:rsidR="00D14C93">
        <w:rPr>
          <w:i/>
        </w:rPr>
        <w:t xml:space="preserve"> </w:t>
      </w:r>
      <w:r w:rsidRPr="006F04CE">
        <w:rPr>
          <w:i/>
        </w:rPr>
        <w:t>in a Nordic context</w:t>
      </w:r>
      <w:r w:rsidRPr="006F04CE">
        <w:t>” (Interview 6). In this respect, the aim is “</w:t>
      </w:r>
      <w:r w:rsidRPr="006F04CE">
        <w:rPr>
          <w:i/>
        </w:rPr>
        <w:t>to reach beyond the current scope where national actors are considered mere recipients of NVL results towards a situation where they claim ownership and responsibility</w:t>
      </w:r>
      <w:r w:rsidRPr="006F04CE">
        <w:t>” (Interview 6).</w:t>
      </w:r>
    </w:p>
    <w:p w14:paraId="47ABBDE5" w14:textId="67A7642F" w:rsidR="006F04CE" w:rsidRPr="006F04CE" w:rsidRDefault="006F04CE" w:rsidP="00A718C4">
      <w:pPr>
        <w:spacing w:line="360" w:lineRule="auto"/>
      </w:pPr>
      <w:r w:rsidRPr="006F04CE">
        <w:t xml:space="preserve">Finally, each </w:t>
      </w:r>
      <w:r w:rsidR="00327439">
        <w:t>sectorial</w:t>
      </w:r>
      <w:r w:rsidRPr="006F04CE">
        <w:t xml:space="preserve"> network is led by a network coordinator </w:t>
      </w:r>
      <w:r w:rsidRPr="006F04CE">
        <w:fldChar w:fldCharType="begin"/>
      </w:r>
      <w:r w:rsidRPr="006F04CE">
        <w:instrText xml:space="preserve"> ADDIN ZOTERO_ITEM CSL_CITATION {"citationID":"w1MR0mG5","properties":{"formattedCitation":"(Nordic Network for Adult Learning, 2019)","plainCitation":"(Nordic Network for Adult Learning, 2019)","noteIndex":0},"citationItems":[{"id":1189,"uris":["http://zotero.org/users/7744878/items/GRJAIDIX"],"uri":["http://zotero.org/users/7744878/items/GRJAIDIX"],"itemData":{"id":1189,"type":"webpage","container-title":"Nordic Network for Adult Learning","title":"NVL brochure","URL":"https://drive.google.com/file/d/13zv75pFxLw-WFhsGaW8fkhNQ0iaeWwHD/view","author":[{"literal":"Nordic Network for Adult Learning"}],"accessed":{"date-parts":[["2021",12,17]]},"issued":{"date-parts":[["2019"]]}}}],"schema":"https://github.com/citation-style-language/schema/raw/master/csl-citation.json"} </w:instrText>
      </w:r>
      <w:r w:rsidRPr="006F04CE">
        <w:fldChar w:fldCharType="separate"/>
      </w:r>
      <w:r w:rsidRPr="006F04CE">
        <w:t>(Nordic Network for Adult Learning, 2019)</w:t>
      </w:r>
      <w:r w:rsidRPr="006F04CE">
        <w:fldChar w:fldCharType="end"/>
      </w:r>
      <w:r w:rsidRPr="006F04CE">
        <w:t xml:space="preserve">. </w:t>
      </w:r>
    </w:p>
    <w:p w14:paraId="39BA5D4E" w14:textId="1D41CF88" w:rsidR="006F04CE" w:rsidRPr="006F04CE" w:rsidRDefault="00E8518C" w:rsidP="00A718C4">
      <w:pPr>
        <w:spacing w:line="360" w:lineRule="auto"/>
      </w:pPr>
      <w:r>
        <w:t>T</w:t>
      </w:r>
      <w:r w:rsidR="006F04CE" w:rsidRPr="006F04CE">
        <w:t xml:space="preserve">he work </w:t>
      </w:r>
      <w:r>
        <w:t xml:space="preserve">of NVL </w:t>
      </w:r>
      <w:r w:rsidR="006F04CE" w:rsidRPr="006F04CE">
        <w:t xml:space="preserve">is conducted in the many smaller, rather autonomous </w:t>
      </w:r>
      <w:r w:rsidR="00890DE4" w:rsidRPr="006F04CE">
        <w:t>sectori</w:t>
      </w:r>
      <w:r w:rsidR="00890DE4">
        <w:t>a</w:t>
      </w:r>
      <w:r w:rsidR="00890DE4" w:rsidRPr="006F04CE">
        <w:t>l</w:t>
      </w:r>
      <w:r w:rsidR="006F04CE" w:rsidRPr="006F04CE">
        <w:t xml:space="preserve"> networks with their own coordinators. This composition ensures that networks can be </w:t>
      </w:r>
      <w:r w:rsidR="00D14C93">
        <w:t xml:space="preserve">opened and </w:t>
      </w:r>
      <w:r w:rsidR="006F04CE" w:rsidRPr="006F04CE">
        <w:t xml:space="preserve">closed according to the priorities and focuses of the Nordic Council of Ministers as a whole. </w:t>
      </w:r>
      <w:r w:rsidR="00F84EAD">
        <w:t xml:space="preserve">Hence, the possibility of quickly setting up and closing down networks, working groups, etc. seems to be one of the strengths of the Nordic Council of Ministers. </w:t>
      </w:r>
      <w:r w:rsidR="006F04CE" w:rsidRPr="006F04CE">
        <w:t>The sector</w:t>
      </w:r>
      <w:r w:rsidR="003B59EB">
        <w:t>i</w:t>
      </w:r>
      <w:r w:rsidR="006F04CE" w:rsidRPr="006F04CE">
        <w:t xml:space="preserve">al network in the area of NVL deals with, among other things, validation of adult education, adult literacy, guidance, competence development in adult teaching, and prison education. </w:t>
      </w:r>
    </w:p>
    <w:p w14:paraId="64225AC5" w14:textId="03DB51C6" w:rsidR="006F04CE" w:rsidRPr="006F04CE" w:rsidRDefault="006F04CE" w:rsidP="00A718C4">
      <w:pPr>
        <w:spacing w:line="360" w:lineRule="auto"/>
      </w:pPr>
      <w:r w:rsidRPr="006F04CE">
        <w:t xml:space="preserve">Some of these networks have existed for a few years, others have lasted for more than a decade (Interview 1). However, all </w:t>
      </w:r>
      <w:r w:rsidR="00402FF0">
        <w:t xml:space="preserve">NVL </w:t>
      </w:r>
      <w:r w:rsidRPr="006F04CE">
        <w:t xml:space="preserve">networks – including those which have been closed down - in some way or other aim to provide </w:t>
      </w:r>
      <w:r w:rsidR="00A67256">
        <w:t>citizens</w:t>
      </w:r>
      <w:r w:rsidRPr="006F04CE">
        <w:t xml:space="preserve"> with the necessary skills to find a satisfactory place in the labour market</w:t>
      </w:r>
      <w:r w:rsidR="00D14C93">
        <w:t>s</w:t>
      </w:r>
      <w:r w:rsidRPr="006F04CE">
        <w:t xml:space="preserve"> of today and tomorrow (Interview 10). </w:t>
      </w:r>
    </w:p>
    <w:p w14:paraId="3A0B7AAA" w14:textId="763235B5" w:rsidR="00022CB7" w:rsidRDefault="00022CB7" w:rsidP="00A718C4">
      <w:pPr>
        <w:spacing w:line="360" w:lineRule="auto"/>
      </w:pPr>
    </w:p>
    <w:p w14:paraId="3533A914" w14:textId="0F7E1F0D" w:rsidR="00514F48" w:rsidRPr="00514F48" w:rsidRDefault="00514F48" w:rsidP="00A718C4">
      <w:pPr>
        <w:pStyle w:val="Heading1"/>
      </w:pPr>
      <w:r w:rsidRPr="00514F48">
        <w:t xml:space="preserve">Analysis </w:t>
      </w:r>
      <w:r w:rsidR="00BF19F9">
        <w:t xml:space="preserve">of the policy learning </w:t>
      </w:r>
      <w:r w:rsidR="006F04CE">
        <w:t>process</w:t>
      </w:r>
    </w:p>
    <w:p w14:paraId="101F69A5" w14:textId="35BB3F3D" w:rsidR="006F04CE" w:rsidRDefault="00A67256" w:rsidP="00A718C4">
      <w:pPr>
        <w:spacing w:line="360" w:lineRule="auto"/>
      </w:pPr>
      <w:r>
        <w:t xml:space="preserve">This part of the analysis will </w:t>
      </w:r>
      <w:r w:rsidR="00D14C93">
        <w:t>address</w:t>
      </w:r>
      <w:r>
        <w:t xml:space="preserve"> the first research question </w:t>
      </w:r>
      <w:r w:rsidR="00F84EAD">
        <w:t xml:space="preserve">mentioned in the Introduction </w:t>
      </w:r>
      <w:r w:rsidR="00DA1BE5">
        <w:t xml:space="preserve">about the process of </w:t>
      </w:r>
      <w:r w:rsidR="00D14C93">
        <w:t>policy learning</w:t>
      </w:r>
      <w:r>
        <w:t xml:space="preserve">. </w:t>
      </w:r>
    </w:p>
    <w:p w14:paraId="16D859A0" w14:textId="556C98AB" w:rsidR="0082276D" w:rsidRDefault="00CB2DE7" w:rsidP="00A718C4">
      <w:pPr>
        <w:spacing w:line="360" w:lineRule="auto"/>
      </w:pPr>
      <w:r>
        <w:t>Normally, the experts</w:t>
      </w:r>
      <w:r w:rsidR="007B273A">
        <w:t xml:space="preserve"> and professionals</w:t>
      </w:r>
      <w:r>
        <w:t xml:space="preserve"> in the </w:t>
      </w:r>
      <w:r w:rsidR="006F04CE">
        <w:t>sector</w:t>
      </w:r>
      <w:r w:rsidR="003B59EB">
        <w:t>i</w:t>
      </w:r>
      <w:r w:rsidR="006F04CE">
        <w:t>al</w:t>
      </w:r>
      <w:r>
        <w:t xml:space="preserve"> </w:t>
      </w:r>
      <w:r w:rsidR="00402FF0">
        <w:t xml:space="preserve">NVL </w:t>
      </w:r>
      <w:r>
        <w:t xml:space="preserve">networks act without any mandate from their organisations (Interview 3). </w:t>
      </w:r>
      <w:r w:rsidR="007B273A">
        <w:t>It is “</w:t>
      </w:r>
      <w:r w:rsidR="007B273A" w:rsidRPr="007B294F">
        <w:rPr>
          <w:i/>
        </w:rPr>
        <w:t>expert</w:t>
      </w:r>
      <w:r w:rsidR="00E66793">
        <w:rPr>
          <w:i/>
        </w:rPr>
        <w:t>-</w:t>
      </w:r>
      <w:r w:rsidR="007B273A" w:rsidRPr="007B294F">
        <w:rPr>
          <w:i/>
        </w:rPr>
        <w:t>oriented to a large degree</w:t>
      </w:r>
      <w:r w:rsidR="007B273A">
        <w:t>” (Interview 6).</w:t>
      </w:r>
      <w:r w:rsidR="00635453">
        <w:t xml:space="preserve"> </w:t>
      </w:r>
      <w:r w:rsidR="007B273A">
        <w:t xml:space="preserve">The members of the NVL </w:t>
      </w:r>
      <w:r w:rsidR="00327439">
        <w:t>sectorial</w:t>
      </w:r>
      <w:r w:rsidR="007B273A">
        <w:t xml:space="preserve"> networks </w:t>
      </w:r>
      <w:r>
        <w:t xml:space="preserve">are there because of the inputs they </w:t>
      </w:r>
      <w:r w:rsidR="003B59EB">
        <w:t>go</w:t>
      </w:r>
      <w:r>
        <w:t xml:space="preserve"> home with</w:t>
      </w:r>
      <w:r w:rsidR="003B59EB">
        <w:t>,</w:t>
      </w:r>
      <w:r>
        <w:t xml:space="preserve"> as well as the contributions they bring, not </w:t>
      </w:r>
      <w:r w:rsidR="00327439">
        <w:t xml:space="preserve">generally </w:t>
      </w:r>
      <w:r>
        <w:t xml:space="preserve">because they </w:t>
      </w:r>
      <w:r w:rsidR="002245E4">
        <w:t>have to articulate</w:t>
      </w:r>
      <w:r>
        <w:t xml:space="preserve"> certain </w:t>
      </w:r>
      <w:r w:rsidR="0082276D">
        <w:t xml:space="preserve">national </w:t>
      </w:r>
      <w:r>
        <w:t>point</w:t>
      </w:r>
      <w:r w:rsidR="00E66793">
        <w:t>s</w:t>
      </w:r>
      <w:r>
        <w:t xml:space="preserve"> of view (Interview 3). </w:t>
      </w:r>
      <w:r w:rsidR="00327439">
        <w:t>This point</w:t>
      </w:r>
      <w:r w:rsidR="003B59EB">
        <w:t>s</w:t>
      </w:r>
      <w:r w:rsidR="00327439">
        <w:t xml:space="preserve"> in </w:t>
      </w:r>
      <w:r w:rsidR="003B59EB">
        <w:t xml:space="preserve">the </w:t>
      </w:r>
      <w:r w:rsidR="00327439">
        <w:t xml:space="preserve">direction of the NVL </w:t>
      </w:r>
      <w:r w:rsidR="00D05AFD">
        <w:t xml:space="preserve">networks </w:t>
      </w:r>
      <w:r w:rsidR="00327439">
        <w:t>being characterised by an epistemic policy learning mode</w:t>
      </w:r>
      <w:r w:rsidR="004502F7">
        <w:t>, because the experts</w:t>
      </w:r>
      <w:r w:rsidR="003B59EB">
        <w:t xml:space="preserve"> have</w:t>
      </w:r>
      <w:r w:rsidR="004502F7">
        <w:t xml:space="preserve"> most often originated outside the government</w:t>
      </w:r>
      <w:r w:rsidR="00327439">
        <w:t xml:space="preserve"> (Dunlop &amp; Radaelli, 2022, p. </w:t>
      </w:r>
      <w:r w:rsidR="004502F7">
        <w:t>64</w:t>
      </w:r>
      <w:r w:rsidR="00327439">
        <w:t>).</w:t>
      </w:r>
    </w:p>
    <w:p w14:paraId="7D692622" w14:textId="2A62F79C" w:rsidR="00895ABD" w:rsidRDefault="009A3C47" w:rsidP="00A718C4">
      <w:pPr>
        <w:spacing w:line="360" w:lineRule="auto"/>
      </w:pPr>
      <w:r>
        <w:t xml:space="preserve">This fact increases the potential for policy learning in the NVL. </w:t>
      </w:r>
      <w:r w:rsidR="00895ABD">
        <w:t>The reason is that national representatives have difficulties admitting policy failures in their own country</w:t>
      </w:r>
      <w:r w:rsidR="004502F7">
        <w:t xml:space="preserve"> when evidence point</w:t>
      </w:r>
      <w:r w:rsidR="005D5DD0">
        <w:t>s</w:t>
      </w:r>
      <w:r w:rsidR="004502F7">
        <w:t xml:space="preserve"> in that direction</w:t>
      </w:r>
      <w:r w:rsidR="00895ABD">
        <w:t xml:space="preserve">. An interviewee explained </w:t>
      </w:r>
      <w:r>
        <w:t>that there had been a shift</w:t>
      </w:r>
      <w:r w:rsidR="00895ABD">
        <w:t xml:space="preserve"> from national government representatives to experts </w:t>
      </w:r>
      <w:r>
        <w:t>and what it had meant fo</w:t>
      </w:r>
      <w:r w:rsidR="00895ABD">
        <w:t xml:space="preserve">r an NVL </w:t>
      </w:r>
      <w:r w:rsidR="00872CD4">
        <w:t>sectorial</w:t>
      </w:r>
      <w:r w:rsidR="00DA1BE5">
        <w:t xml:space="preserve"> network</w:t>
      </w:r>
      <w:r w:rsidR="00895ABD">
        <w:t>:</w:t>
      </w:r>
    </w:p>
    <w:p w14:paraId="21091C6A" w14:textId="172152F7" w:rsidR="00715A2D" w:rsidRDefault="00895ABD" w:rsidP="00A718C4">
      <w:pPr>
        <w:pStyle w:val="citater"/>
        <w:spacing w:line="360" w:lineRule="auto"/>
        <w:ind w:left="1304" w:hanging="566"/>
      </w:pPr>
      <w:r w:rsidRPr="004279E1">
        <w:rPr>
          <w:i/>
          <w:iCs/>
        </w:rPr>
        <w:t>“Because, at some point, we had government representatives, for example, people from the ministry. Of course, they have their own fingerprints in the policy, so they were very defensive about the</w:t>
      </w:r>
      <w:r w:rsidR="005D5DD0" w:rsidRPr="004279E1">
        <w:rPr>
          <w:i/>
          <w:iCs/>
        </w:rPr>
        <w:t>m</w:t>
      </w:r>
      <w:r w:rsidRPr="004279E1">
        <w:rPr>
          <w:i/>
          <w:iCs/>
        </w:rPr>
        <w:t xml:space="preserve">. </w:t>
      </w:r>
      <w:r w:rsidR="009A3087" w:rsidRPr="004279E1">
        <w:rPr>
          <w:i/>
          <w:iCs/>
        </w:rPr>
        <w:t>[…] [T]</w:t>
      </w:r>
      <w:r w:rsidRPr="004279E1">
        <w:rPr>
          <w:i/>
          <w:iCs/>
        </w:rPr>
        <w:t xml:space="preserve">his was a bit of a problem. Then we also started having more people from different educational sectors, and then we had these couples—that </w:t>
      </w:r>
      <w:r w:rsidR="005D5DD0" w:rsidRPr="004279E1">
        <w:rPr>
          <w:i/>
          <w:iCs/>
        </w:rPr>
        <w:t>one person</w:t>
      </w:r>
      <w:r w:rsidRPr="004279E1">
        <w:rPr>
          <w:i/>
          <w:iCs/>
        </w:rPr>
        <w:t xml:space="preserve"> from the country was, for example, from the government agency or something, and the other one was from an educational sector. So it became much easier in that sense. There was not so much defensiveness in the air anymore, and </w:t>
      </w:r>
      <w:r w:rsidR="005D5DD0" w:rsidRPr="004279E1">
        <w:rPr>
          <w:i/>
          <w:iCs/>
        </w:rPr>
        <w:t>there</w:t>
      </w:r>
      <w:r w:rsidRPr="004279E1">
        <w:rPr>
          <w:i/>
          <w:iCs/>
        </w:rPr>
        <w:t xml:space="preserve"> was a very healthy discussion about what was not working, what the problem </w:t>
      </w:r>
      <w:r w:rsidR="00E17A38" w:rsidRPr="004279E1">
        <w:rPr>
          <w:i/>
          <w:iCs/>
        </w:rPr>
        <w:t xml:space="preserve">was </w:t>
      </w:r>
      <w:r w:rsidRPr="004279E1">
        <w:rPr>
          <w:i/>
          <w:iCs/>
        </w:rPr>
        <w:t>in the respective countries, what we</w:t>
      </w:r>
      <w:r w:rsidR="00E17A38" w:rsidRPr="004279E1">
        <w:rPr>
          <w:i/>
          <w:iCs/>
        </w:rPr>
        <w:t xml:space="preserve"> have</w:t>
      </w:r>
      <w:r w:rsidRPr="004279E1">
        <w:rPr>
          <w:i/>
          <w:iCs/>
        </w:rPr>
        <w:t xml:space="preserve"> not been able to achieve…”</w:t>
      </w:r>
      <w:r>
        <w:t xml:space="preserve"> (Interview 4).</w:t>
      </w:r>
    </w:p>
    <w:p w14:paraId="4A7397EE" w14:textId="235B01B7" w:rsidR="00895ABD" w:rsidRDefault="00723304" w:rsidP="00A718C4">
      <w:pPr>
        <w:spacing w:line="360" w:lineRule="auto"/>
        <w:rPr>
          <w:rFonts w:eastAsia="Calibri"/>
          <w:lang w:val="en-US" w:eastAsia="en-US"/>
        </w:rPr>
      </w:pPr>
      <w:r>
        <w:rPr>
          <w:rFonts w:eastAsia="Calibri"/>
          <w:lang w:val="en-US" w:eastAsia="en-US"/>
        </w:rPr>
        <w:t>This also impl</w:t>
      </w:r>
      <w:r w:rsidR="00E17A38">
        <w:rPr>
          <w:rFonts w:eastAsia="Calibri"/>
          <w:lang w:val="en-US" w:eastAsia="en-US"/>
        </w:rPr>
        <w:t>ies</w:t>
      </w:r>
      <w:r>
        <w:rPr>
          <w:rFonts w:eastAsia="Calibri"/>
          <w:lang w:val="en-US" w:eastAsia="en-US"/>
        </w:rPr>
        <w:t xml:space="preserve"> that NVL networks should not be under any form of political pressure</w:t>
      </w:r>
      <w:r w:rsidR="00F84EAD">
        <w:rPr>
          <w:rFonts w:eastAsia="Calibri"/>
          <w:lang w:val="en-US" w:eastAsia="en-US"/>
        </w:rPr>
        <w:t xml:space="preserve"> from government representatives</w:t>
      </w:r>
      <w:r w:rsidR="009A3C47">
        <w:rPr>
          <w:rFonts w:eastAsia="Calibri"/>
          <w:lang w:val="en-US" w:eastAsia="en-US"/>
        </w:rPr>
        <w:t xml:space="preserve">. </w:t>
      </w:r>
      <w:r w:rsidR="0082276D">
        <w:rPr>
          <w:rFonts w:eastAsia="Calibri"/>
          <w:lang w:val="en-US" w:eastAsia="en-US"/>
        </w:rPr>
        <w:t>However, a</w:t>
      </w:r>
      <w:r w:rsidR="00715A2D">
        <w:rPr>
          <w:rFonts w:eastAsia="Calibri"/>
          <w:lang w:val="en-US" w:eastAsia="en-US"/>
        </w:rPr>
        <w:t>nother interviewee state</w:t>
      </w:r>
      <w:r w:rsidR="0082276D">
        <w:rPr>
          <w:rFonts w:eastAsia="Calibri"/>
          <w:lang w:val="en-US" w:eastAsia="en-US"/>
        </w:rPr>
        <w:t>d</w:t>
      </w:r>
      <w:r w:rsidR="00715A2D">
        <w:rPr>
          <w:rFonts w:eastAsia="Calibri"/>
          <w:lang w:val="en-US" w:eastAsia="en-US"/>
        </w:rPr>
        <w:t xml:space="preserve"> that there is </w:t>
      </w:r>
      <w:r w:rsidR="00F84EAD">
        <w:rPr>
          <w:rFonts w:eastAsia="Calibri"/>
          <w:lang w:val="en-US" w:eastAsia="en-US"/>
        </w:rPr>
        <w:t xml:space="preserve">still </w:t>
      </w:r>
      <w:r w:rsidR="00715A2D">
        <w:rPr>
          <w:rFonts w:eastAsia="Calibri"/>
          <w:lang w:val="en-US" w:eastAsia="en-US"/>
        </w:rPr>
        <w:t xml:space="preserve">a difference between internal openness in the NVL </w:t>
      </w:r>
      <w:r w:rsidR="00872CD4">
        <w:rPr>
          <w:rFonts w:eastAsia="Calibri"/>
          <w:lang w:val="en-US" w:eastAsia="en-US"/>
        </w:rPr>
        <w:t>sectorial</w:t>
      </w:r>
      <w:r w:rsidR="00715A2D">
        <w:rPr>
          <w:rFonts w:eastAsia="Calibri"/>
          <w:lang w:val="en-US" w:eastAsia="en-US"/>
        </w:rPr>
        <w:t xml:space="preserve"> networks and less so externally: “</w:t>
      </w:r>
      <w:r w:rsidR="00E17A38">
        <w:rPr>
          <w:rFonts w:eastAsia="Calibri"/>
          <w:i/>
          <w:lang w:val="en-US" w:eastAsia="en-US"/>
        </w:rPr>
        <w:t>W</w:t>
      </w:r>
      <w:r w:rsidR="00715A2D" w:rsidRPr="007B294F">
        <w:rPr>
          <w:rFonts w:eastAsia="Calibri"/>
          <w:i/>
          <w:lang w:val="en-US" w:eastAsia="en-US"/>
        </w:rPr>
        <w:t xml:space="preserve">e can </w:t>
      </w:r>
      <w:r w:rsidR="00E17A38">
        <w:rPr>
          <w:rFonts w:eastAsia="Calibri"/>
          <w:i/>
          <w:lang w:val="en-US" w:eastAsia="en-US"/>
        </w:rPr>
        <w:t>quite</w:t>
      </w:r>
      <w:r w:rsidR="00715A2D" w:rsidRPr="007B294F">
        <w:rPr>
          <w:rFonts w:eastAsia="Calibri"/>
          <w:i/>
          <w:lang w:val="en-US" w:eastAsia="en-US"/>
        </w:rPr>
        <w:t xml:space="preserve"> peacefully critici</w:t>
      </w:r>
      <w:r w:rsidR="00E17A38">
        <w:rPr>
          <w:rFonts w:eastAsia="Calibri"/>
          <w:i/>
          <w:lang w:val="en-US" w:eastAsia="en-US"/>
        </w:rPr>
        <w:t>s</w:t>
      </w:r>
      <w:r w:rsidR="00715A2D" w:rsidRPr="007B294F">
        <w:rPr>
          <w:rFonts w:eastAsia="Calibri"/>
          <w:i/>
          <w:lang w:val="en-US" w:eastAsia="en-US"/>
        </w:rPr>
        <w:t>e one another and also acknowledge our own flaws. When we do something publicly, it’s often much harder</w:t>
      </w:r>
      <w:r w:rsidR="00715A2D">
        <w:rPr>
          <w:rFonts w:eastAsia="Calibri"/>
          <w:lang w:val="en-US" w:eastAsia="en-US"/>
        </w:rPr>
        <w:t xml:space="preserve">” (Interview 6). </w:t>
      </w:r>
      <w:r w:rsidR="001C007F">
        <w:rPr>
          <w:rFonts w:eastAsia="Calibri"/>
          <w:lang w:val="en-US" w:eastAsia="en-US"/>
        </w:rPr>
        <w:t xml:space="preserve">In other words, not only the epistemic policy learning, but also the reflexive policy learning mode with </w:t>
      </w:r>
      <w:r w:rsidR="00DA1BE5">
        <w:rPr>
          <w:rFonts w:eastAsia="Calibri"/>
          <w:lang w:val="en-US" w:eastAsia="en-US"/>
        </w:rPr>
        <w:t>‘</w:t>
      </w:r>
      <w:r w:rsidR="001C007F">
        <w:rPr>
          <w:rFonts w:eastAsia="Calibri"/>
          <w:lang w:val="en-US" w:eastAsia="en-US"/>
        </w:rPr>
        <w:t>dialogue</w:t>
      </w:r>
      <w:r w:rsidR="00DA1BE5">
        <w:rPr>
          <w:rFonts w:eastAsia="Calibri"/>
          <w:lang w:val="en-US" w:eastAsia="en-US"/>
        </w:rPr>
        <w:t>’</w:t>
      </w:r>
      <w:r w:rsidR="001C007F">
        <w:rPr>
          <w:rFonts w:eastAsia="Calibri"/>
          <w:lang w:val="en-US" w:eastAsia="en-US"/>
        </w:rPr>
        <w:t xml:space="preserve"> as the metaphor characteri</w:t>
      </w:r>
      <w:r w:rsidR="005D5DD0">
        <w:rPr>
          <w:rFonts w:eastAsia="Calibri"/>
          <w:lang w:val="en-US" w:eastAsia="en-US"/>
        </w:rPr>
        <w:t>s</w:t>
      </w:r>
      <w:r w:rsidR="001C007F">
        <w:rPr>
          <w:rFonts w:eastAsia="Calibri"/>
          <w:lang w:val="en-US" w:eastAsia="en-US"/>
        </w:rPr>
        <w:t xml:space="preserve">es NVL. </w:t>
      </w:r>
      <w:r w:rsidR="00D05AFD">
        <w:rPr>
          <w:rFonts w:eastAsia="Calibri"/>
          <w:lang w:val="en-US" w:eastAsia="en-US"/>
        </w:rPr>
        <w:t xml:space="preserve">At the same time, </w:t>
      </w:r>
      <w:r w:rsidR="001C007F">
        <w:rPr>
          <w:rFonts w:eastAsia="Calibri"/>
          <w:lang w:val="en-US" w:eastAsia="en-US"/>
        </w:rPr>
        <w:t xml:space="preserve">there </w:t>
      </w:r>
      <w:r w:rsidR="005D5DD0">
        <w:rPr>
          <w:rFonts w:eastAsia="Calibri"/>
          <w:lang w:val="en-US" w:eastAsia="en-US"/>
        </w:rPr>
        <w:t>are</w:t>
      </w:r>
      <w:r w:rsidR="001C007F">
        <w:rPr>
          <w:rFonts w:eastAsia="Calibri"/>
          <w:lang w:val="en-US" w:eastAsia="en-US"/>
        </w:rPr>
        <w:t xml:space="preserve"> still remin</w:t>
      </w:r>
      <w:r w:rsidR="00271C60">
        <w:rPr>
          <w:rFonts w:eastAsia="Calibri"/>
          <w:lang w:val="en-US" w:eastAsia="en-US"/>
        </w:rPr>
        <w:t>ders</w:t>
      </w:r>
      <w:r w:rsidR="001C007F">
        <w:rPr>
          <w:rFonts w:eastAsia="Calibri"/>
          <w:lang w:val="en-US" w:eastAsia="en-US"/>
        </w:rPr>
        <w:t xml:space="preserve"> of the bargaining policy learning mode when NVL goes public</w:t>
      </w:r>
      <w:r w:rsidR="00F84EAD">
        <w:rPr>
          <w:rFonts w:eastAsia="Calibri"/>
          <w:lang w:val="en-US" w:eastAsia="en-US"/>
        </w:rPr>
        <w:t>.</w:t>
      </w:r>
      <w:r w:rsidR="001C007F">
        <w:rPr>
          <w:rFonts w:eastAsia="Calibri"/>
          <w:lang w:val="en-US" w:eastAsia="en-US"/>
        </w:rPr>
        <w:t xml:space="preserve">  </w:t>
      </w:r>
    </w:p>
    <w:p w14:paraId="35E31ADC" w14:textId="2D0B7F33" w:rsidR="006F684A" w:rsidRPr="006F684A" w:rsidRDefault="006F684A" w:rsidP="00A718C4">
      <w:pPr>
        <w:spacing w:line="360" w:lineRule="auto"/>
      </w:pPr>
      <w:r w:rsidRPr="006F684A">
        <w:t xml:space="preserve">Crucial to the layout of </w:t>
      </w:r>
      <w:r w:rsidR="009C38B8">
        <w:t xml:space="preserve">the </w:t>
      </w:r>
      <w:r w:rsidRPr="006F684A">
        <w:t xml:space="preserve">NVL </w:t>
      </w:r>
      <w:r w:rsidR="009C38B8">
        <w:t>learning process is that it contain</w:t>
      </w:r>
      <w:r w:rsidR="00C52E69">
        <w:t>s</w:t>
      </w:r>
      <w:r w:rsidR="009C38B8">
        <w:t xml:space="preserve"> </w:t>
      </w:r>
      <w:r w:rsidRPr="006F684A">
        <w:t xml:space="preserve">both </w:t>
      </w:r>
      <w:r w:rsidR="009C38B8">
        <w:t>a</w:t>
      </w:r>
      <w:r w:rsidR="004677D6">
        <w:t xml:space="preserve"> </w:t>
      </w:r>
      <w:r w:rsidRPr="006F684A">
        <w:t>flexible and rather complex network structure. Or as an interviewee said: “</w:t>
      </w:r>
      <w:r w:rsidRPr="004677D6">
        <w:rPr>
          <w:i/>
        </w:rPr>
        <w:t>I think that what NVL can offer is the flexible organic model</w:t>
      </w:r>
      <w:r w:rsidRPr="006F684A">
        <w:t>” (Interview 2). T</w:t>
      </w:r>
      <w:r w:rsidR="004677D6">
        <w:t>he flexible organic structure</w:t>
      </w:r>
      <w:r w:rsidRPr="006F684A">
        <w:t xml:space="preserve"> can be </w:t>
      </w:r>
      <w:r w:rsidR="004677D6">
        <w:t xml:space="preserve">interpreted </w:t>
      </w:r>
      <w:r w:rsidRPr="006F684A">
        <w:t xml:space="preserve">as </w:t>
      </w:r>
      <w:r w:rsidR="009C38B8">
        <w:t xml:space="preserve">if the NVL is </w:t>
      </w:r>
      <w:r w:rsidR="004677D6">
        <w:t xml:space="preserve">able to </w:t>
      </w:r>
      <w:r w:rsidRPr="006F684A">
        <w:t xml:space="preserve">handle </w:t>
      </w:r>
      <w:r w:rsidR="004677D6">
        <w:t>and</w:t>
      </w:r>
      <w:r w:rsidRPr="006F684A">
        <w:t xml:space="preserve"> ensure that the networks work towards the </w:t>
      </w:r>
      <w:r w:rsidR="009C38B8">
        <w:t xml:space="preserve">sometimes shifting </w:t>
      </w:r>
      <w:r w:rsidRPr="006F684A">
        <w:t xml:space="preserve">priorities pointed to by the </w:t>
      </w:r>
      <w:r w:rsidR="004677D6" w:rsidRPr="004677D6">
        <w:t>Nordic Council of Ministers’ Civil Servant Committee for Education</w:t>
      </w:r>
      <w:r w:rsidR="009C38B8">
        <w:t>, cf. above in the article</w:t>
      </w:r>
      <w:r w:rsidRPr="006F684A">
        <w:t xml:space="preserve">. Another interviewee presented the </w:t>
      </w:r>
      <w:r w:rsidR="00A15F7D" w:rsidRPr="00A15F7D">
        <w:t xml:space="preserve">raison </w:t>
      </w:r>
      <w:r w:rsidR="00514F48" w:rsidRPr="00A15F7D">
        <w:t xml:space="preserve">d’être </w:t>
      </w:r>
      <w:r w:rsidR="00DA1BE5">
        <w:t xml:space="preserve">in NVL networks </w:t>
      </w:r>
      <w:r w:rsidR="00514F48" w:rsidRPr="00A15F7D">
        <w:t>in</w:t>
      </w:r>
      <w:r w:rsidRPr="006F684A">
        <w:t xml:space="preserve"> the following way: </w:t>
      </w:r>
    </w:p>
    <w:p w14:paraId="648A3D51" w14:textId="5EE0E63F" w:rsidR="006F684A" w:rsidRPr="004279E1" w:rsidRDefault="006F684A" w:rsidP="00A718C4">
      <w:pPr>
        <w:pStyle w:val="citater"/>
        <w:spacing w:line="360" w:lineRule="auto"/>
        <w:rPr>
          <w:i/>
          <w:iCs/>
        </w:rPr>
      </w:pPr>
      <w:r w:rsidRPr="004279E1">
        <w:rPr>
          <w:i/>
          <w:iCs/>
        </w:rPr>
        <w:t xml:space="preserve">“But I think the outcome and the advantage of each other’s experience and skills </w:t>
      </w:r>
      <w:r w:rsidR="00A15F7D" w:rsidRPr="004279E1">
        <w:rPr>
          <w:i/>
          <w:iCs/>
        </w:rPr>
        <w:t>i</w:t>
      </w:r>
      <w:r w:rsidRPr="004279E1">
        <w:rPr>
          <w:i/>
          <w:iCs/>
        </w:rPr>
        <w:t xml:space="preserve">n the field is number one, which is so valuable. Just the thing where you get to know how you have solved different questions </w:t>
      </w:r>
      <w:r w:rsidR="00742B31" w:rsidRPr="004279E1">
        <w:rPr>
          <w:i/>
          <w:iCs/>
        </w:rPr>
        <w:t xml:space="preserve">in </w:t>
      </w:r>
      <w:r w:rsidRPr="004279E1">
        <w:rPr>
          <w:i/>
          <w:iCs/>
        </w:rPr>
        <w:t>other</w:t>
      </w:r>
      <w:r w:rsidR="00742B31" w:rsidRPr="004279E1">
        <w:rPr>
          <w:i/>
          <w:iCs/>
        </w:rPr>
        <w:t xml:space="preserve"> countrie</w:t>
      </w:r>
      <w:r w:rsidRPr="004279E1">
        <w:rPr>
          <w:i/>
          <w:iCs/>
        </w:rPr>
        <w:t>s</w:t>
      </w:r>
      <w:r w:rsidR="00742B31" w:rsidRPr="004279E1">
        <w:rPr>
          <w:i/>
          <w:iCs/>
        </w:rPr>
        <w:t>,</w:t>
      </w:r>
      <w:r w:rsidRPr="004279E1">
        <w:rPr>
          <w:i/>
          <w:iCs/>
        </w:rPr>
        <w:t xml:space="preserve"> and that can </w:t>
      </w:r>
      <w:r w:rsidR="00742B31" w:rsidRPr="004279E1">
        <w:rPr>
          <w:i/>
          <w:iCs/>
        </w:rPr>
        <w:t>provide</w:t>
      </w:r>
      <w:r w:rsidRPr="004279E1">
        <w:rPr>
          <w:i/>
          <w:iCs/>
        </w:rPr>
        <w:t xml:space="preserve"> good examples. It can also be the opposite</w:t>
      </w:r>
      <w:r w:rsidR="00A15F7D" w:rsidRPr="004279E1">
        <w:rPr>
          <w:i/>
          <w:iCs/>
        </w:rPr>
        <w:t xml:space="preserve"> </w:t>
      </w:r>
      <w:r w:rsidRPr="004279E1">
        <w:rPr>
          <w:i/>
          <w:iCs/>
        </w:rPr>
        <w:t>—</w:t>
      </w:r>
      <w:r w:rsidR="00A15F7D" w:rsidRPr="004279E1">
        <w:rPr>
          <w:i/>
          <w:iCs/>
        </w:rPr>
        <w:t xml:space="preserve"> </w:t>
      </w:r>
      <w:r w:rsidRPr="004279E1">
        <w:rPr>
          <w:i/>
          <w:iCs/>
        </w:rPr>
        <w:t>that it is hard for us, there are difficulties”</w:t>
      </w:r>
      <w:r w:rsidR="009016B0">
        <w:rPr>
          <w:i/>
          <w:iCs/>
        </w:rPr>
        <w:t>.</w:t>
      </w:r>
      <w:r w:rsidRPr="004279E1">
        <w:rPr>
          <w:i/>
          <w:iCs/>
        </w:rPr>
        <w:t xml:space="preserve"> </w:t>
      </w:r>
      <w:r w:rsidRPr="009016B0">
        <w:t>(Interview 3).</w:t>
      </w:r>
    </w:p>
    <w:p w14:paraId="4F95A3F2" w14:textId="158F2167" w:rsidR="001C007F" w:rsidRDefault="001C007F" w:rsidP="00A718C4">
      <w:pPr>
        <w:spacing w:line="360" w:lineRule="auto"/>
      </w:pPr>
      <w:r>
        <w:t xml:space="preserve">According to this interviewee, when judging whether the epistemic or the reflexive mode of policy learning is the most important in NVL, it seems to be the </w:t>
      </w:r>
      <w:r w:rsidR="00C52E69">
        <w:t>former</w:t>
      </w:r>
      <w:r>
        <w:t xml:space="preserve"> version because ‘skills’ and ‘experience’ </w:t>
      </w:r>
      <w:r w:rsidR="00C52E69">
        <w:t>are</w:t>
      </w:r>
      <w:r>
        <w:t xml:space="preserve"> ‘number one’.</w:t>
      </w:r>
      <w:r w:rsidR="009C38B8">
        <w:t xml:space="preserve"> This was also stressed by an interviewee when mentioning the </w:t>
      </w:r>
      <w:r w:rsidR="00DA1BE5">
        <w:t xml:space="preserve">clear </w:t>
      </w:r>
      <w:r w:rsidR="009C38B8">
        <w:t>expert-orientation of NVL (Interview 6).</w:t>
      </w:r>
    </w:p>
    <w:p w14:paraId="265F2CA3" w14:textId="5DECAD9B" w:rsidR="006F684A" w:rsidRPr="006F684A" w:rsidRDefault="006F684A" w:rsidP="00A718C4">
      <w:pPr>
        <w:spacing w:line="360" w:lineRule="auto"/>
      </w:pPr>
      <w:r w:rsidRPr="006F684A">
        <w:t xml:space="preserve">In the last few years, some of the </w:t>
      </w:r>
      <w:r w:rsidR="006F04CE">
        <w:t>sector</w:t>
      </w:r>
      <w:r w:rsidR="003B59EB">
        <w:t>i</w:t>
      </w:r>
      <w:r w:rsidR="006F04CE">
        <w:t>al</w:t>
      </w:r>
      <w:r w:rsidRPr="006F684A">
        <w:t xml:space="preserve"> networks have deliberately changed from the conference model to a work group </w:t>
      </w:r>
      <w:r w:rsidR="00B634F8">
        <w:t xml:space="preserve">model </w:t>
      </w:r>
      <w:r w:rsidR="004677D6">
        <w:t xml:space="preserve">as the </w:t>
      </w:r>
      <w:r w:rsidRPr="006F684A">
        <w:t>yearly biggest event. The new model is both more flexible and activate</w:t>
      </w:r>
      <w:r w:rsidR="00277AC7">
        <w:t>s</w:t>
      </w:r>
      <w:r w:rsidRPr="006F684A">
        <w:t xml:space="preserve"> participants more</w:t>
      </w:r>
      <w:r w:rsidR="004677D6">
        <w:t xml:space="preserve"> intensively</w:t>
      </w:r>
      <w:r w:rsidRPr="006F684A">
        <w:t>, thereby potentially contributing to increased learning</w:t>
      </w:r>
      <w:r w:rsidR="00D4650B">
        <w:t xml:space="preserve"> and cooperation</w:t>
      </w:r>
      <w:r w:rsidRPr="006F684A">
        <w:t xml:space="preserve"> </w:t>
      </w:r>
      <w:r w:rsidR="00DA1BE5">
        <w:t xml:space="preserve">through upgrading beliefs and </w:t>
      </w:r>
      <w:r w:rsidRPr="006F684A">
        <w:t xml:space="preserve">via more new ideas being </w:t>
      </w:r>
      <w:r w:rsidR="006F04CE">
        <w:t xml:space="preserve">presented and perhaps later </w:t>
      </w:r>
      <w:r w:rsidRPr="006F684A">
        <w:t xml:space="preserve">implemented in practice (Interview 3). </w:t>
      </w:r>
      <w:r w:rsidR="009016B0">
        <w:t>Th</w:t>
      </w:r>
      <w:r w:rsidR="004677D6">
        <w:t xml:space="preserve">e network </w:t>
      </w:r>
      <w:r w:rsidRPr="006F684A">
        <w:t xml:space="preserve">for teaching immigrants Nordic languages </w:t>
      </w:r>
      <w:r w:rsidR="004677D6">
        <w:t>still stick</w:t>
      </w:r>
      <w:r w:rsidR="00277AC7">
        <w:t>s</w:t>
      </w:r>
      <w:r w:rsidR="004677D6">
        <w:t xml:space="preserve"> to </w:t>
      </w:r>
      <w:r w:rsidRPr="006F684A">
        <w:t>conferences, but only hold</w:t>
      </w:r>
      <w:r w:rsidR="00277AC7">
        <w:t>s</w:t>
      </w:r>
      <w:r w:rsidRPr="006F684A">
        <w:t xml:space="preserve"> them every second or third year (Interview 7).</w:t>
      </w:r>
      <w:r w:rsidR="001C007F">
        <w:t xml:space="preserve"> This organisational change can also be interpreted </w:t>
      </w:r>
      <w:r w:rsidR="006B4CF7">
        <w:t>based upon</w:t>
      </w:r>
      <w:r w:rsidR="005F3666">
        <w:t xml:space="preserve"> the theoretical concepts of this </w:t>
      </w:r>
      <w:r w:rsidR="009A3C47">
        <w:t>chapter</w:t>
      </w:r>
      <w:r w:rsidR="009016B0">
        <w:t xml:space="preserve">, </w:t>
      </w:r>
      <w:r w:rsidR="005F3666">
        <w:t xml:space="preserve">as a clear move in </w:t>
      </w:r>
      <w:r w:rsidR="009016B0">
        <w:t xml:space="preserve">the </w:t>
      </w:r>
      <w:r w:rsidR="005F3666">
        <w:t>direction of epistemic and reflexive policy learning in smaller and more intimate organisational settings</w:t>
      </w:r>
      <w:r w:rsidR="009C38B8">
        <w:t xml:space="preserve"> where ‘cooperative’ </w:t>
      </w:r>
      <w:r w:rsidR="00D05AFD">
        <w:t xml:space="preserve">modes of </w:t>
      </w:r>
      <w:r w:rsidR="009C38B8">
        <w:t xml:space="preserve">policy learning </w:t>
      </w:r>
      <w:r w:rsidR="009016B0">
        <w:t>are</w:t>
      </w:r>
      <w:r w:rsidR="009C38B8">
        <w:t xml:space="preserve"> most pronounced</w:t>
      </w:r>
      <w:r w:rsidR="005F3666">
        <w:t>.</w:t>
      </w:r>
    </w:p>
    <w:p w14:paraId="32623D19" w14:textId="066B2258" w:rsidR="006F684A" w:rsidRPr="006F684A" w:rsidRDefault="006F684A" w:rsidP="00A718C4">
      <w:pPr>
        <w:spacing w:line="360" w:lineRule="auto"/>
      </w:pPr>
      <w:r w:rsidRPr="006F684A">
        <w:t xml:space="preserve">Upholding a flexible network structure, which </w:t>
      </w:r>
      <w:r w:rsidR="009C38B8">
        <w:t xml:space="preserve">also </w:t>
      </w:r>
      <w:r w:rsidRPr="006F684A">
        <w:t xml:space="preserve">includes the possibility of ending and initiating networks entails a continuous focus on the layout of the networks, which one respondent stresses: </w:t>
      </w:r>
    </w:p>
    <w:p w14:paraId="7DCEC7C3" w14:textId="31F1764F" w:rsidR="006F684A" w:rsidRPr="004279E1" w:rsidRDefault="006F684A" w:rsidP="00A718C4">
      <w:pPr>
        <w:pStyle w:val="citater"/>
        <w:spacing w:line="360" w:lineRule="auto"/>
        <w:rPr>
          <w:i/>
          <w:iCs/>
        </w:rPr>
      </w:pPr>
      <w:r w:rsidRPr="004279E1">
        <w:rPr>
          <w:i/>
          <w:iCs/>
        </w:rPr>
        <w:t xml:space="preserve">“When we </w:t>
      </w:r>
      <w:r w:rsidR="00277AC7" w:rsidRPr="004279E1">
        <w:rPr>
          <w:i/>
          <w:iCs/>
        </w:rPr>
        <w:t>gather</w:t>
      </w:r>
      <w:r w:rsidRPr="004279E1">
        <w:rPr>
          <w:i/>
          <w:iCs/>
        </w:rPr>
        <w:t xml:space="preserve"> in our meetings, we constantly need to be aware of where we are now, whether we have the right people present, are we answering to the right needs […]” </w:t>
      </w:r>
      <w:r w:rsidRPr="009016B0">
        <w:t>(Interview 1).</w:t>
      </w:r>
    </w:p>
    <w:p w14:paraId="00D28253" w14:textId="6DC2B7A1" w:rsidR="006F684A" w:rsidRPr="006F684A" w:rsidRDefault="006F684A" w:rsidP="00A718C4">
      <w:pPr>
        <w:spacing w:line="360" w:lineRule="auto"/>
        <w:rPr>
          <w:lang w:val="en-US"/>
        </w:rPr>
      </w:pPr>
      <w:r w:rsidRPr="006F684A">
        <w:rPr>
          <w:lang w:val="en-US"/>
        </w:rPr>
        <w:t>As the quote illustrates, the issue of flexibility within the network again refers to the constant stressing of problem orientation</w:t>
      </w:r>
      <w:r w:rsidR="006B4CF7">
        <w:rPr>
          <w:lang w:val="en-US"/>
        </w:rPr>
        <w:t xml:space="preserve"> as far as policy learning processes are concerned</w:t>
      </w:r>
      <w:r w:rsidRPr="006F684A">
        <w:rPr>
          <w:lang w:val="en-US"/>
        </w:rPr>
        <w:t xml:space="preserve">. </w:t>
      </w:r>
      <w:r w:rsidR="005F3666">
        <w:rPr>
          <w:lang w:val="en-US"/>
        </w:rPr>
        <w:t>The flexibility of the networks corresponds with the epistemic mode of policy learning characteri</w:t>
      </w:r>
      <w:r w:rsidR="006B40C0">
        <w:rPr>
          <w:lang w:val="en-US"/>
        </w:rPr>
        <w:t>s</w:t>
      </w:r>
      <w:r w:rsidR="005F3666">
        <w:rPr>
          <w:lang w:val="en-US"/>
        </w:rPr>
        <w:t xml:space="preserve">ed by thinking through the links between policy means and ends. </w:t>
      </w:r>
      <w:r w:rsidR="006B40C0">
        <w:rPr>
          <w:lang w:val="en-US"/>
        </w:rPr>
        <w:t>P</w:t>
      </w:r>
      <w:r w:rsidR="005F3666">
        <w:rPr>
          <w:lang w:val="en-US"/>
        </w:rPr>
        <w:t>roblem orientation, on the other hand, corresponds with conflict resolution, which characteri</w:t>
      </w:r>
      <w:r w:rsidR="006B40C0">
        <w:rPr>
          <w:lang w:val="en-US"/>
        </w:rPr>
        <w:t>s</w:t>
      </w:r>
      <w:r w:rsidR="005F3666">
        <w:rPr>
          <w:lang w:val="en-US"/>
        </w:rPr>
        <w:t xml:space="preserve">es the reflexive mode of policy learning (Dunlop &amp; Radaelli, 2022, p. 56). However, both these two policy learning modes are grounded in changes of preferences where a </w:t>
      </w:r>
      <w:r w:rsidRPr="006F684A">
        <w:rPr>
          <w:lang w:val="en-US"/>
        </w:rPr>
        <w:t>con</w:t>
      </w:r>
      <w:r w:rsidR="00277AC7">
        <w:rPr>
          <w:lang w:val="en-US"/>
        </w:rPr>
        <w:t>tinual</w:t>
      </w:r>
      <w:r w:rsidRPr="006F684A">
        <w:rPr>
          <w:lang w:val="en-US"/>
        </w:rPr>
        <w:t xml:space="preserve"> focus on responding to policy needs is upheld. </w:t>
      </w:r>
    </w:p>
    <w:p w14:paraId="618984CB" w14:textId="0A46E2FE" w:rsidR="006F684A" w:rsidRPr="007E4EBB" w:rsidRDefault="005F3666" w:rsidP="00A718C4">
      <w:pPr>
        <w:spacing w:line="360" w:lineRule="auto"/>
      </w:pPr>
      <w:r>
        <w:rPr>
          <w:lang w:val="en-US"/>
        </w:rPr>
        <w:t xml:space="preserve"> </w:t>
      </w:r>
    </w:p>
    <w:p w14:paraId="60792424" w14:textId="1C5DF167" w:rsidR="006C45A1" w:rsidRDefault="006C45A1" w:rsidP="00A718C4">
      <w:pPr>
        <w:pStyle w:val="Heading1"/>
      </w:pPr>
      <w:r w:rsidRPr="006C45A1">
        <w:t xml:space="preserve">Analysis </w:t>
      </w:r>
      <w:r w:rsidR="009A3C47">
        <w:t xml:space="preserve">of the policy learning </w:t>
      </w:r>
      <w:r w:rsidR="006F04CE">
        <w:t>output</w:t>
      </w:r>
    </w:p>
    <w:p w14:paraId="7028AC5A" w14:textId="6436E84C" w:rsidR="003F758C" w:rsidRDefault="00B823C7" w:rsidP="00A718C4">
      <w:pPr>
        <w:spacing w:line="360" w:lineRule="auto"/>
      </w:pPr>
      <w:r>
        <w:t xml:space="preserve">This part of the analysis </w:t>
      </w:r>
      <w:r w:rsidR="00ED209A">
        <w:t>will a</w:t>
      </w:r>
      <w:r w:rsidR="00EF0F88">
        <w:t>ddress</w:t>
      </w:r>
      <w:r w:rsidR="00ED209A">
        <w:t xml:space="preserve"> the second research question </w:t>
      </w:r>
      <w:r w:rsidR="00F84EAD">
        <w:t>on policy learning output in the I</w:t>
      </w:r>
      <w:r w:rsidR="00ED209A">
        <w:t xml:space="preserve">ntroduction. </w:t>
      </w:r>
      <w:r w:rsidR="008B2FEE">
        <w:t>According to the interviewees,</w:t>
      </w:r>
      <w:r w:rsidR="00ED209A">
        <w:t xml:space="preserve"> all four options</w:t>
      </w:r>
      <w:r w:rsidR="00734806">
        <w:t xml:space="preserve"> of policy learning</w:t>
      </w:r>
      <w:r w:rsidR="00ED209A">
        <w:t xml:space="preserve"> </w:t>
      </w:r>
      <w:r w:rsidR="00F84EAD">
        <w:t xml:space="preserve">output </w:t>
      </w:r>
      <w:r w:rsidR="0043751E">
        <w:t>categorised above in this</w:t>
      </w:r>
      <w:r w:rsidR="00734806">
        <w:t xml:space="preserve"> article </w:t>
      </w:r>
      <w:r w:rsidR="00ED209A">
        <w:t xml:space="preserve">are found in NVL. </w:t>
      </w:r>
      <w:r w:rsidR="008B2FEE">
        <w:t xml:space="preserve">However, the predominant policy learning output from NVL networks </w:t>
      </w:r>
      <w:r w:rsidR="003B0028">
        <w:t>seems to be</w:t>
      </w:r>
      <w:r w:rsidR="008B2FEE">
        <w:t xml:space="preserve"> about emulation and hybridi</w:t>
      </w:r>
      <w:r w:rsidR="00EF0F88">
        <w:t>s</w:t>
      </w:r>
      <w:r w:rsidR="008B2FEE">
        <w:t xml:space="preserve">ation/synthesis. </w:t>
      </w:r>
      <w:r w:rsidR="003B0028">
        <w:t xml:space="preserve">The interviewees even </w:t>
      </w:r>
      <w:r w:rsidR="00741507">
        <w:t xml:space="preserve">seem to indicate that the last option is the most important </w:t>
      </w:r>
      <w:r w:rsidR="00EF0F88">
        <w:t xml:space="preserve">one for </w:t>
      </w:r>
      <w:r w:rsidR="00741507">
        <w:t>Nordic policy learning, cf. below.</w:t>
      </w:r>
      <w:r w:rsidR="008B2FEE">
        <w:t xml:space="preserve"> </w:t>
      </w:r>
    </w:p>
    <w:p w14:paraId="0843340B" w14:textId="3CED5CD7" w:rsidR="004A6FCC" w:rsidRDefault="003B0028" w:rsidP="00A718C4">
      <w:pPr>
        <w:spacing w:line="360" w:lineRule="auto"/>
        <w:rPr>
          <w:lang w:val="en-US"/>
        </w:rPr>
      </w:pPr>
      <w:r>
        <w:t>But</w:t>
      </w:r>
      <w:r w:rsidR="004A6FCC" w:rsidRPr="004A6FCC">
        <w:rPr>
          <w:lang w:val="en-US"/>
        </w:rPr>
        <w:t xml:space="preserve"> </w:t>
      </w:r>
      <w:r w:rsidR="006B4CF7">
        <w:rPr>
          <w:lang w:val="en-US"/>
        </w:rPr>
        <w:t xml:space="preserve">how </w:t>
      </w:r>
      <w:r w:rsidR="004A6FCC" w:rsidRPr="004A6FCC">
        <w:rPr>
          <w:lang w:val="en-US"/>
        </w:rPr>
        <w:t>does the NVL find out what the output of its activities</w:t>
      </w:r>
      <w:r w:rsidR="00EF0F88">
        <w:rPr>
          <w:lang w:val="en-US"/>
        </w:rPr>
        <w:t xml:space="preserve"> should comprise</w:t>
      </w:r>
      <w:r w:rsidR="004A6FCC" w:rsidRPr="004A6FCC">
        <w:rPr>
          <w:lang w:val="en-US"/>
        </w:rPr>
        <w:t>? A leading member of</w:t>
      </w:r>
      <w:r w:rsidR="00EF0F88">
        <w:rPr>
          <w:lang w:val="en-US"/>
        </w:rPr>
        <w:t xml:space="preserve"> the network</w:t>
      </w:r>
      <w:r w:rsidR="004A6FCC" w:rsidRPr="004A6FCC">
        <w:rPr>
          <w:lang w:val="en-US"/>
        </w:rPr>
        <w:t xml:space="preserve"> </w:t>
      </w:r>
      <w:r w:rsidR="006B4CF7">
        <w:rPr>
          <w:lang w:val="en-US"/>
        </w:rPr>
        <w:t>answer</w:t>
      </w:r>
      <w:r w:rsidR="00EF0F88">
        <w:rPr>
          <w:lang w:val="en-US"/>
        </w:rPr>
        <w:t>s</w:t>
      </w:r>
      <w:r w:rsidR="006B4CF7">
        <w:rPr>
          <w:lang w:val="en-US"/>
        </w:rPr>
        <w:t xml:space="preserve"> the question</w:t>
      </w:r>
      <w:r w:rsidR="004A6FCC" w:rsidRPr="004A6FCC">
        <w:rPr>
          <w:lang w:val="en-US"/>
        </w:rPr>
        <w:t xml:space="preserve"> in this way:</w:t>
      </w:r>
    </w:p>
    <w:p w14:paraId="31B7AB0F" w14:textId="77777777" w:rsidR="004A6FCC" w:rsidRPr="004A6FCC" w:rsidRDefault="004A6FCC" w:rsidP="00A718C4">
      <w:pPr>
        <w:spacing w:line="360" w:lineRule="auto"/>
        <w:rPr>
          <w:lang w:val="en-US"/>
        </w:rPr>
      </w:pPr>
    </w:p>
    <w:p w14:paraId="153035AF" w14:textId="77777777" w:rsidR="004A6FCC" w:rsidRPr="004A6FCC" w:rsidRDefault="004A6FCC" w:rsidP="00A718C4">
      <w:pPr>
        <w:spacing w:line="360" w:lineRule="auto"/>
        <w:ind w:left="737"/>
        <w:rPr>
          <w:sz w:val="20"/>
          <w:szCs w:val="20"/>
          <w:lang w:val="en-US"/>
        </w:rPr>
      </w:pPr>
      <w:r w:rsidRPr="004279E1">
        <w:rPr>
          <w:i/>
          <w:iCs/>
          <w:sz w:val="20"/>
          <w:szCs w:val="20"/>
          <w:lang w:val="en-US"/>
        </w:rPr>
        <w:t>“[..] the starting point is a well discussed mutual interest and priority. When the Council of Ministers says that you have to work with validation, counselling, basic skills, and so forth, we then go - our coordinators - to their country and find the key organisations which are related to the case, you could say, which develop, decide, or work with it concretely. And then we investigate the way in which, for example, Sweden, Norway and Denmark work with validation, and then we invite these key organisations and meet here in a network. The network always has a starting phase that maps the needs in every country. A network also works where you as a Swede, you as a Norwegian, need to bring something. We can do that. However, at the same time, we also have some things we need to take home — there is a give and take principle in the network”</w:t>
      </w:r>
      <w:r w:rsidRPr="004A6FCC">
        <w:rPr>
          <w:sz w:val="20"/>
          <w:szCs w:val="20"/>
          <w:lang w:val="en-US"/>
        </w:rPr>
        <w:t xml:space="preserve"> (Interview 1).</w:t>
      </w:r>
    </w:p>
    <w:p w14:paraId="5D7C9E3F" w14:textId="77777777" w:rsidR="006B4CF7" w:rsidRDefault="006B4CF7" w:rsidP="00A718C4">
      <w:pPr>
        <w:spacing w:line="360" w:lineRule="auto"/>
        <w:rPr>
          <w:lang w:val="en-US"/>
        </w:rPr>
      </w:pPr>
    </w:p>
    <w:p w14:paraId="57ECEA94" w14:textId="790F801D" w:rsidR="004A6FCC" w:rsidRDefault="004A6FCC" w:rsidP="00A718C4">
      <w:pPr>
        <w:spacing w:line="360" w:lineRule="auto"/>
      </w:pPr>
      <w:r w:rsidRPr="004A6FCC">
        <w:rPr>
          <w:lang w:val="en-US"/>
        </w:rPr>
        <w:t xml:space="preserve">As illustrated, the </w:t>
      </w:r>
      <w:r w:rsidR="00BF4788">
        <w:rPr>
          <w:lang w:val="en-US"/>
        </w:rPr>
        <w:t xml:space="preserve">starting point of getting the right output </w:t>
      </w:r>
      <w:r w:rsidRPr="004A6FCC">
        <w:rPr>
          <w:lang w:val="en-US"/>
        </w:rPr>
        <w:t xml:space="preserve">rests on a concept of mapping the needs within each country, ensuring that the topics covered are relevant to actors in all of them. </w:t>
      </w:r>
      <w:r w:rsidR="00BF4788">
        <w:rPr>
          <w:lang w:val="en-US"/>
        </w:rPr>
        <w:t xml:space="preserve">Then the work within the NVL networks begin. </w:t>
      </w:r>
    </w:p>
    <w:p w14:paraId="1C822198" w14:textId="15C0107F" w:rsidR="00A67256" w:rsidRPr="00A67256" w:rsidRDefault="00A67256" w:rsidP="00A718C4">
      <w:pPr>
        <w:spacing w:line="360" w:lineRule="auto"/>
      </w:pPr>
      <w:r w:rsidRPr="00A67256">
        <w:t>The networks under the NVL umbrella meet three-five times per year. They continuously produce and update handbooks or reports online with ‘to-do-methods’ in the respective areas (Interview 1) as well as sometimes also policy briefs (Interview 4, Nordi</w:t>
      </w:r>
      <w:r w:rsidR="00597355">
        <w:t>c</w:t>
      </w:r>
      <w:r w:rsidRPr="00A67256">
        <w:t xml:space="preserve"> Network for Adult Learning, 2020). In any case, several interviewees stress</w:t>
      </w:r>
      <w:r w:rsidR="006B4CF7">
        <w:t>ed</w:t>
      </w:r>
      <w:r w:rsidRPr="00A67256">
        <w:t xml:space="preserve"> that just being part of a network is also important because “</w:t>
      </w:r>
      <w:r w:rsidRPr="00A67256">
        <w:rPr>
          <w:i/>
        </w:rPr>
        <w:t>it makes us able to mail, call and help each other</w:t>
      </w:r>
      <w:r w:rsidRPr="00A67256">
        <w:t>” (Interview 5).</w:t>
      </w:r>
      <w:r w:rsidR="008B2FEE">
        <w:t xml:space="preserve"> In principle, this </w:t>
      </w:r>
      <w:r w:rsidR="006B4CF7">
        <w:t xml:space="preserve">output of the NVL </w:t>
      </w:r>
      <w:r w:rsidR="008B2FEE">
        <w:t xml:space="preserve">might include all four policy learning options </w:t>
      </w:r>
      <w:r w:rsidR="009A3C47">
        <w:t>explained above in the section on ‘What is policy learning?’</w:t>
      </w:r>
      <w:r w:rsidR="008B2FEE">
        <w:t>.</w:t>
      </w:r>
    </w:p>
    <w:p w14:paraId="78ED9938" w14:textId="56F18375" w:rsidR="006F684A" w:rsidRPr="006F684A" w:rsidRDefault="00ED209A" w:rsidP="00A718C4">
      <w:pPr>
        <w:spacing w:line="360" w:lineRule="auto"/>
      </w:pPr>
      <w:r>
        <w:t>I</w:t>
      </w:r>
      <w:r w:rsidR="006F684A" w:rsidRPr="006F684A">
        <w:t xml:space="preserve">t should be noted that the problem orientation in NVL is </w:t>
      </w:r>
      <w:r w:rsidR="00812067">
        <w:t>quite</w:t>
      </w:r>
      <w:r w:rsidR="006F684A" w:rsidRPr="006F684A">
        <w:t xml:space="preserve"> institutionalised. The orientation towards concrete solutions permeates the </w:t>
      </w:r>
      <w:r w:rsidR="003F758C">
        <w:t xml:space="preserve">NVL </w:t>
      </w:r>
      <w:r w:rsidR="006F684A" w:rsidRPr="006F684A">
        <w:t>network and its publications as well as external communication</w:t>
      </w:r>
      <w:r w:rsidR="00042E42">
        <w:t>s</w:t>
      </w:r>
      <w:r w:rsidR="006F684A" w:rsidRPr="006F684A">
        <w:t xml:space="preserve">. For example, in their introduction, NVL </w:t>
      </w:r>
      <w:r w:rsidR="00042E42">
        <w:t>not</w:t>
      </w:r>
      <w:r w:rsidR="006F684A" w:rsidRPr="006F684A">
        <w:t xml:space="preserve">es that the results from the </w:t>
      </w:r>
      <w:r w:rsidR="00872CD4">
        <w:t>sectorial</w:t>
      </w:r>
      <w:r w:rsidR="006F684A" w:rsidRPr="006F684A">
        <w:t xml:space="preserve"> networks are “</w:t>
      </w:r>
      <w:r w:rsidR="006F684A" w:rsidRPr="006F684A">
        <w:rPr>
          <w:i/>
        </w:rPr>
        <w:t>translated to practice by the organisations and authorities in all Nordic countries</w:t>
      </w:r>
      <w:r w:rsidR="006F684A" w:rsidRPr="006F684A">
        <w:t>”</w:t>
      </w:r>
      <w:r w:rsidR="004D2408">
        <w:t xml:space="preserve"> </w:t>
      </w:r>
      <w:r w:rsidR="004D2408">
        <w:fldChar w:fldCharType="begin"/>
      </w:r>
      <w:r w:rsidR="00D44DFB">
        <w:instrText xml:space="preserve"> ADDIN ZOTERO_ITEM CSL_CITATION {"citationID":"zxpLi681","properties":{"formattedCitation":"(Nordic Network for Adult Learning, 2021b. Own translation by authors)","plainCitation":"(Nordic Network for Adult Learning, 2021b. Own translation by authors)","noteIndex":0},"citationItems":[{"id":770,"uris":["http://zotero.org/users/7744878/items/KW3EINJS"],"uri":["http://zotero.org/users/7744878/items/KW3EINJS"],"itemData":{"id":770,"type":"webpage","title":"Om NVL","URL":"https://nvl.org/om-nvl","author":[{"literal":"Nordic Network for Adult Learning"}],"accessed":{"date-parts":[["2021",6,23]]},"issued":{"date-parts":[["2021"]]}},"suffix":". Own translation by authors"}],"schema":"https://github.com/citation-style-language/schema/raw/master/csl-citation.json"} </w:instrText>
      </w:r>
      <w:r w:rsidR="004D2408">
        <w:fldChar w:fldCharType="separate"/>
      </w:r>
      <w:r w:rsidR="009209C0">
        <w:rPr>
          <w:noProof/>
        </w:rPr>
        <w:t>(Nordic Net</w:t>
      </w:r>
      <w:r w:rsidR="009A3C47">
        <w:rPr>
          <w:noProof/>
        </w:rPr>
        <w:t>work for Adult Learning, 2021b</w:t>
      </w:r>
      <w:r w:rsidR="009209C0">
        <w:rPr>
          <w:noProof/>
        </w:rPr>
        <w:t>)</w:t>
      </w:r>
      <w:r w:rsidR="004D2408">
        <w:fldChar w:fldCharType="end"/>
      </w:r>
      <w:r w:rsidR="009209C0">
        <w:t>,</w:t>
      </w:r>
      <w:r w:rsidR="006F684A" w:rsidRPr="006F684A">
        <w:t xml:space="preserve"> highlighting specifically the importance of network activities actually being used in a policy context. </w:t>
      </w:r>
      <w:r w:rsidR="001D64FB">
        <w:t xml:space="preserve">Again, the output of these policy learning processes might be consistent with </w:t>
      </w:r>
      <w:r w:rsidR="009A3C47">
        <w:t xml:space="preserve">both </w:t>
      </w:r>
      <w:r w:rsidR="001D64FB">
        <w:t>copying, emulation, hybridi</w:t>
      </w:r>
      <w:r w:rsidR="00812067">
        <w:t>s</w:t>
      </w:r>
      <w:r w:rsidR="001D64FB">
        <w:t>ation/synthesis and inspiration.</w:t>
      </w:r>
    </w:p>
    <w:p w14:paraId="62E5CF6A" w14:textId="1E1A767D" w:rsidR="006F684A" w:rsidRPr="006F684A" w:rsidRDefault="0038600E" w:rsidP="00A718C4">
      <w:pPr>
        <w:spacing w:line="360" w:lineRule="auto"/>
      </w:pPr>
      <w:r>
        <w:t>It seems</w:t>
      </w:r>
      <w:r w:rsidR="006F684A" w:rsidRPr="006F684A">
        <w:t xml:space="preserve"> that the strong focus on </w:t>
      </w:r>
      <w:r w:rsidR="001D64FB">
        <w:t>responding to concrete needs</w:t>
      </w:r>
      <w:r w:rsidR="006F684A" w:rsidRPr="006F684A">
        <w:t xml:space="preserve"> within NVL constitutes a large part of </w:t>
      </w:r>
      <w:r>
        <w:t>its relative</w:t>
      </w:r>
      <w:r w:rsidR="006F684A" w:rsidRPr="006F684A">
        <w:t xml:space="preserve"> </w:t>
      </w:r>
      <w:r w:rsidRPr="006F684A">
        <w:t>success</w:t>
      </w:r>
      <w:r w:rsidR="009A3C47">
        <w:t xml:space="preserve">. </w:t>
      </w:r>
      <w:r w:rsidR="006B4CF7">
        <w:t>This is probably not le</w:t>
      </w:r>
      <w:r w:rsidR="008A3551">
        <w:t>a</w:t>
      </w:r>
      <w:r w:rsidR="006B4CF7">
        <w:t xml:space="preserve">st the case when it is combined with the epistemic or reflexive modes of policy learning, cf. above in this </w:t>
      </w:r>
      <w:r w:rsidR="009A3C47">
        <w:t>chapter</w:t>
      </w:r>
      <w:r w:rsidR="006B4CF7">
        <w:t>.</w:t>
      </w:r>
    </w:p>
    <w:p w14:paraId="505DC736" w14:textId="306BDD34" w:rsidR="00CD1315" w:rsidRDefault="00D25748" w:rsidP="00A718C4">
      <w:pPr>
        <w:spacing w:line="360" w:lineRule="auto"/>
      </w:pPr>
      <w:r>
        <w:t xml:space="preserve">The interviewees gave a number of examples of </w:t>
      </w:r>
      <w:r w:rsidR="00FF5D90">
        <w:t>specific</w:t>
      </w:r>
      <w:r>
        <w:t xml:space="preserve"> learning from being part of NVL. </w:t>
      </w:r>
      <w:r w:rsidR="00FF5D90">
        <w:t xml:space="preserve">A </w:t>
      </w:r>
      <w:r w:rsidR="000148B4">
        <w:t xml:space="preserve">concrete result of the work in the </w:t>
      </w:r>
      <w:r w:rsidR="001D64FB">
        <w:t>sectorial</w:t>
      </w:r>
      <w:r w:rsidR="000148B4">
        <w:t xml:space="preserve"> network on education in prisons is that </w:t>
      </w:r>
      <w:r>
        <w:t xml:space="preserve">it </w:t>
      </w:r>
      <w:r w:rsidR="000148B4">
        <w:t xml:space="preserve">is now possible – via various models </w:t>
      </w:r>
      <w:r w:rsidR="001D64FB">
        <w:t>emulated</w:t>
      </w:r>
      <w:r w:rsidR="000148B4">
        <w:t xml:space="preserve"> from </w:t>
      </w:r>
      <w:r w:rsidR="001D64FB">
        <w:t xml:space="preserve">both </w:t>
      </w:r>
      <w:r w:rsidR="000148B4">
        <w:t xml:space="preserve">Norway and Finland – to use </w:t>
      </w:r>
      <w:r w:rsidR="00FF5D90">
        <w:t xml:space="preserve">the </w:t>
      </w:r>
      <w:r w:rsidR="000148B4">
        <w:t xml:space="preserve">internet as a tool in the education of </w:t>
      </w:r>
      <w:r w:rsidR="0074542A">
        <w:t>inmates</w:t>
      </w:r>
      <w:r w:rsidR="000148B4">
        <w:t xml:space="preserve"> (Interview 3). </w:t>
      </w:r>
      <w:r w:rsidR="00DB76C2">
        <w:t xml:space="preserve">Generally, NVL </w:t>
      </w:r>
      <w:r w:rsidR="001D64FB">
        <w:t>sectorial</w:t>
      </w:r>
      <w:r w:rsidR="00DB76C2">
        <w:t xml:space="preserve"> networks often look to Nordic countries </w:t>
      </w:r>
      <w:r w:rsidR="00CD1315">
        <w:t xml:space="preserve">for inspiration that are </w:t>
      </w:r>
      <w:r w:rsidR="00DB76C2">
        <w:t>mo</w:t>
      </w:r>
      <w:r w:rsidR="00CD1315">
        <w:t>s</w:t>
      </w:r>
      <w:r w:rsidR="00DB76C2">
        <w:t>t advantage</w:t>
      </w:r>
      <w:r w:rsidR="00FF5D90">
        <w:t>ous</w:t>
      </w:r>
      <w:r w:rsidR="00DB76C2">
        <w:t xml:space="preserve"> in the various </w:t>
      </w:r>
      <w:r w:rsidR="00CD1315">
        <w:t xml:space="preserve">policy areas (Interview 8). That could be </w:t>
      </w:r>
      <w:r w:rsidR="00872CD4">
        <w:t xml:space="preserve">emulating </w:t>
      </w:r>
      <w:r w:rsidR="00CD1315">
        <w:t>Finland as far as validation of adult education is concerned (Interview 8)</w:t>
      </w:r>
      <w:r>
        <w:t>,</w:t>
      </w:r>
      <w:r w:rsidR="00CD1315">
        <w:t xml:space="preserve"> Norway for online adult educational guidance (Interview 9)</w:t>
      </w:r>
      <w:r w:rsidR="00D312D9">
        <w:t xml:space="preserve"> or Denmark for labour</w:t>
      </w:r>
      <w:r w:rsidR="00FF5D90">
        <w:t>-</w:t>
      </w:r>
      <w:r w:rsidR="00D312D9">
        <w:t>relevant language training of immigrants and refugees (Interview 6).</w:t>
      </w:r>
      <w:r w:rsidR="00790A5E">
        <w:t xml:space="preserve"> Again, these indications of policy learning are about how they were perceived by NVL network participants.</w:t>
      </w:r>
    </w:p>
    <w:p w14:paraId="40C54262" w14:textId="503A4FF0" w:rsidR="00D453C2" w:rsidRPr="00A123F9" w:rsidRDefault="00796DB2" w:rsidP="00A718C4">
      <w:pPr>
        <w:spacing w:line="360" w:lineRule="auto"/>
      </w:pPr>
      <w:r>
        <w:t xml:space="preserve">However, many NVL </w:t>
      </w:r>
      <w:r w:rsidR="00101749">
        <w:t xml:space="preserve">policy learning </w:t>
      </w:r>
      <w:r>
        <w:t xml:space="preserve">projects </w:t>
      </w:r>
      <w:r w:rsidR="00101749">
        <w:t>also</w:t>
      </w:r>
      <w:r>
        <w:t xml:space="preserve"> require some sort of combin</w:t>
      </w:r>
      <w:r w:rsidR="00101749">
        <w:t>ation of</w:t>
      </w:r>
      <w:r>
        <w:t xml:space="preserve"> elements found in more than one Nordic country. </w:t>
      </w:r>
      <w:r w:rsidR="00D453C2">
        <w:t>Validation of adult education is a</w:t>
      </w:r>
      <w:r w:rsidR="00EE45D5">
        <w:t xml:space="preserve">nother example </w:t>
      </w:r>
      <w:r w:rsidR="00D25748">
        <w:t>o</w:t>
      </w:r>
      <w:r w:rsidR="008A3551">
        <w:t>f</w:t>
      </w:r>
      <w:r w:rsidR="00D25748">
        <w:t xml:space="preserve"> </w:t>
      </w:r>
      <w:r w:rsidR="00EE45D5">
        <w:t xml:space="preserve">how policy </w:t>
      </w:r>
      <w:r w:rsidR="00D453C2">
        <w:t xml:space="preserve">learning in NVL can be understood through the concept </w:t>
      </w:r>
      <w:r w:rsidR="00101749">
        <w:t>of hybridi</w:t>
      </w:r>
      <w:r w:rsidR="008A3551">
        <w:t>s</w:t>
      </w:r>
      <w:r w:rsidR="00101749">
        <w:t xml:space="preserve">ation/synthesis </w:t>
      </w:r>
      <w:r w:rsidR="00CB198B">
        <w:t xml:space="preserve">of </w:t>
      </w:r>
      <w:r w:rsidR="003F758C">
        <w:t xml:space="preserve">Dolowitz and March (1996). </w:t>
      </w:r>
      <w:r w:rsidR="00D453C2">
        <w:t xml:space="preserve">An interviewee </w:t>
      </w:r>
      <w:r w:rsidR="00CB198B">
        <w:t>responded</w:t>
      </w:r>
      <w:r w:rsidR="00D453C2">
        <w:t xml:space="preserve"> </w:t>
      </w:r>
      <w:r w:rsidR="00D453C2" w:rsidRPr="00A123F9">
        <w:t xml:space="preserve">with this statement about </w:t>
      </w:r>
      <w:r w:rsidR="00101749">
        <w:t xml:space="preserve">beliefs in </w:t>
      </w:r>
      <w:r w:rsidR="00D453C2" w:rsidRPr="00A123F9">
        <w:t>the network</w:t>
      </w:r>
      <w:r w:rsidR="00D312D9">
        <w:t xml:space="preserve"> on validation of adult education</w:t>
      </w:r>
      <w:r w:rsidR="00D453C2" w:rsidRPr="00A123F9">
        <w:t xml:space="preserve">: </w:t>
      </w:r>
    </w:p>
    <w:p w14:paraId="6CFA62DD" w14:textId="76DECE96" w:rsidR="00161195" w:rsidRDefault="00D453C2" w:rsidP="00A718C4">
      <w:pPr>
        <w:spacing w:before="360" w:after="360" w:line="360" w:lineRule="auto"/>
        <w:ind w:left="454"/>
        <w:rPr>
          <w:rFonts w:eastAsia="Calibri"/>
          <w:sz w:val="20"/>
          <w:szCs w:val="20"/>
          <w:lang w:val="en-US" w:eastAsia="en-US"/>
        </w:rPr>
      </w:pPr>
      <w:r w:rsidRPr="004279E1">
        <w:rPr>
          <w:rFonts w:eastAsia="Calibri"/>
          <w:i/>
          <w:iCs/>
          <w:sz w:val="20"/>
          <w:szCs w:val="20"/>
          <w:lang w:val="en-US" w:eastAsia="en-US"/>
        </w:rPr>
        <w:t>“</w:t>
      </w:r>
      <w:r w:rsidR="00D25748" w:rsidRPr="004279E1">
        <w:rPr>
          <w:rFonts w:eastAsia="Calibri"/>
          <w:i/>
          <w:iCs/>
          <w:sz w:val="20"/>
          <w:szCs w:val="20"/>
          <w:lang w:val="en-US" w:eastAsia="en-US"/>
        </w:rPr>
        <w:t>T</w:t>
      </w:r>
      <w:r w:rsidRPr="004279E1">
        <w:rPr>
          <w:rFonts w:eastAsia="Calibri"/>
          <w:i/>
          <w:iCs/>
          <w:sz w:val="20"/>
          <w:szCs w:val="20"/>
          <w:lang w:val="en-US" w:eastAsia="en-US"/>
        </w:rPr>
        <w:t xml:space="preserve">hese different projects that we have been doing have been </w:t>
      </w:r>
      <w:r w:rsidR="00D312D9" w:rsidRPr="004279E1">
        <w:rPr>
          <w:rFonts w:eastAsia="Calibri"/>
          <w:i/>
          <w:iCs/>
          <w:sz w:val="20"/>
          <w:szCs w:val="20"/>
          <w:lang w:val="en-US" w:eastAsia="en-US"/>
        </w:rPr>
        <w:t>educational</w:t>
      </w:r>
      <w:r w:rsidRPr="004279E1">
        <w:rPr>
          <w:rFonts w:eastAsia="Calibri"/>
          <w:i/>
          <w:iCs/>
          <w:sz w:val="20"/>
          <w:szCs w:val="20"/>
          <w:lang w:val="en-US" w:eastAsia="en-US"/>
        </w:rPr>
        <w:t>, and they are deep learning processes as well. Because of course, creating a common Nordic tool requires a lot of debate, a lot of discussion, because we cannot have any one country o</w:t>
      </w:r>
      <w:r w:rsidR="00CB198B" w:rsidRPr="004279E1">
        <w:rPr>
          <w:rFonts w:eastAsia="Calibri"/>
          <w:i/>
          <w:iCs/>
          <w:sz w:val="20"/>
          <w:szCs w:val="20"/>
          <w:lang w:val="en-US" w:eastAsia="en-US"/>
        </w:rPr>
        <w:t>r</w:t>
      </w:r>
      <w:r w:rsidRPr="004279E1">
        <w:rPr>
          <w:rFonts w:eastAsia="Calibri"/>
          <w:i/>
          <w:iCs/>
          <w:sz w:val="20"/>
          <w:szCs w:val="20"/>
          <w:lang w:val="en-US" w:eastAsia="en-US"/>
        </w:rPr>
        <w:t xml:space="preserve"> any one area be</w:t>
      </w:r>
      <w:r w:rsidR="008A3551">
        <w:rPr>
          <w:rFonts w:eastAsia="Calibri"/>
          <w:i/>
          <w:iCs/>
          <w:sz w:val="20"/>
          <w:szCs w:val="20"/>
          <w:lang w:val="en-US" w:eastAsia="en-US"/>
        </w:rPr>
        <w:t>ing</w:t>
      </w:r>
      <w:r w:rsidRPr="004279E1">
        <w:rPr>
          <w:rFonts w:eastAsia="Calibri"/>
          <w:i/>
          <w:iCs/>
          <w:sz w:val="20"/>
          <w:szCs w:val="20"/>
          <w:lang w:val="en-US" w:eastAsia="en-US"/>
        </w:rPr>
        <w:t xml:space="preserve"> overly presented in those talks. But it has to be a consensus decision of what we are going to have presented—what is the sort of medial</w:t>
      </w:r>
      <w:r w:rsidR="00796DB2" w:rsidRPr="004279E1">
        <w:rPr>
          <w:rFonts w:eastAsia="Calibri"/>
          <w:i/>
          <w:iCs/>
          <w:sz w:val="20"/>
          <w:szCs w:val="20"/>
          <w:lang w:val="en-US" w:eastAsia="en-US"/>
        </w:rPr>
        <w:t xml:space="preserve"> …</w:t>
      </w:r>
      <w:r w:rsidR="000249CF">
        <w:rPr>
          <w:rFonts w:eastAsia="Calibri"/>
          <w:sz w:val="20"/>
          <w:szCs w:val="20"/>
          <w:lang w:val="en-US" w:eastAsia="en-US"/>
        </w:rPr>
        <w:t>..</w:t>
      </w:r>
      <w:r w:rsidRPr="00161195">
        <w:rPr>
          <w:rFonts w:eastAsia="Calibri"/>
          <w:sz w:val="20"/>
          <w:szCs w:val="20"/>
          <w:lang w:val="en-US" w:eastAsia="en-US"/>
        </w:rPr>
        <w:t>.” (Interview 4).</w:t>
      </w:r>
    </w:p>
    <w:p w14:paraId="51404C32" w14:textId="4DBA1E53" w:rsidR="00872CD4" w:rsidRDefault="00796DB2" w:rsidP="00A718C4">
      <w:pPr>
        <w:spacing w:line="360" w:lineRule="auto"/>
        <w:ind w:firstLine="0"/>
      </w:pPr>
      <w:r>
        <w:t xml:space="preserve">Here, we can interpret ‘consensus’ and </w:t>
      </w:r>
      <w:r w:rsidR="00101749">
        <w:t>‘s</w:t>
      </w:r>
      <w:r>
        <w:t xml:space="preserve">ort of medial’ as </w:t>
      </w:r>
      <w:r w:rsidR="00101749">
        <w:t xml:space="preserve">a sign of presence of a </w:t>
      </w:r>
      <w:r w:rsidRPr="00796DB2">
        <w:t>hybridi</w:t>
      </w:r>
      <w:r w:rsidR="008A3551">
        <w:t>s</w:t>
      </w:r>
      <w:r w:rsidRPr="00796DB2">
        <w:t>ation/synthesis</w:t>
      </w:r>
      <w:r w:rsidR="00101749">
        <w:t xml:space="preserve"> policy learning output</w:t>
      </w:r>
      <w:r>
        <w:t xml:space="preserve">.  </w:t>
      </w:r>
      <w:r w:rsidR="007465DE">
        <w:t>A</w:t>
      </w:r>
      <w:r w:rsidR="00101749">
        <w:t>n i</w:t>
      </w:r>
      <w:r w:rsidR="007465DE">
        <w:t>nterviewee</w:t>
      </w:r>
      <w:r w:rsidR="00101749">
        <w:t xml:space="preserve"> also</w:t>
      </w:r>
      <w:r w:rsidR="007465DE">
        <w:t xml:space="preserve"> stressed that</w:t>
      </w:r>
      <w:r w:rsidR="008A3551">
        <w:t>,</w:t>
      </w:r>
      <w:r w:rsidR="007465DE">
        <w:t xml:space="preserve"> concerning career guidance in her home country</w:t>
      </w:r>
      <w:r w:rsidR="008A3551">
        <w:t>,</w:t>
      </w:r>
      <w:r w:rsidR="007465DE">
        <w:t xml:space="preserve"> they needed </w:t>
      </w:r>
      <w:r w:rsidR="007465DE" w:rsidRPr="004279E1">
        <w:rPr>
          <w:i/>
          <w:iCs/>
        </w:rPr>
        <w:t xml:space="preserve">“a lot of </w:t>
      </w:r>
      <w:r w:rsidRPr="004279E1">
        <w:rPr>
          <w:i/>
          <w:iCs/>
        </w:rPr>
        <w:t xml:space="preserve">that </w:t>
      </w:r>
      <w:r w:rsidR="007465DE" w:rsidRPr="004279E1">
        <w:rPr>
          <w:i/>
          <w:iCs/>
        </w:rPr>
        <w:t>information we got from this network”</w:t>
      </w:r>
      <w:r w:rsidR="007465DE">
        <w:t>. And she added that her country was not copying and that “</w:t>
      </w:r>
      <w:r w:rsidR="007465DE" w:rsidRPr="004279E1">
        <w:rPr>
          <w:i/>
          <w:iCs/>
        </w:rPr>
        <w:t>we do not translate guidance from other countries, but we hear about what they are doing, and we learn a lot”</w:t>
      </w:r>
      <w:r w:rsidR="007465DE">
        <w:t xml:space="preserve"> (Interview 9). Another interviewee stressed that her country had a </w:t>
      </w:r>
      <w:r w:rsidR="007465DE" w:rsidRPr="004279E1">
        <w:rPr>
          <w:i/>
          <w:iCs/>
        </w:rPr>
        <w:t>“great utility from Nordic cooperation”</w:t>
      </w:r>
      <w:r w:rsidR="007465DE">
        <w:t xml:space="preserve"> through </w:t>
      </w:r>
      <w:r w:rsidR="007465DE" w:rsidRPr="004279E1">
        <w:rPr>
          <w:i/>
          <w:iCs/>
        </w:rPr>
        <w:t>“sharing experiences”</w:t>
      </w:r>
      <w:r w:rsidR="007465DE">
        <w:t xml:space="preserve"> (Interview 7). </w:t>
      </w:r>
      <w:r w:rsidR="00741507">
        <w:t xml:space="preserve">Yet another interviewee emphasised the </w:t>
      </w:r>
      <w:r w:rsidR="00741507" w:rsidRPr="004279E1">
        <w:rPr>
          <w:i/>
          <w:iCs/>
        </w:rPr>
        <w:t>“synergies”</w:t>
      </w:r>
      <w:r w:rsidR="00741507">
        <w:t xml:space="preserve"> of Nordic cooperation as far as </w:t>
      </w:r>
      <w:r w:rsidR="00101749">
        <w:t xml:space="preserve">learning about </w:t>
      </w:r>
      <w:r w:rsidR="00741507">
        <w:t xml:space="preserve">validation of education </w:t>
      </w:r>
      <w:r w:rsidR="003E551C">
        <w:t>is</w:t>
      </w:r>
      <w:r w:rsidR="00741507">
        <w:t xml:space="preserve"> concerned (Interview 10).</w:t>
      </w:r>
      <w:r w:rsidR="007465DE">
        <w:t xml:space="preserve"> </w:t>
      </w:r>
      <w:r>
        <w:t xml:space="preserve">These statements all point to the fact that the output of policy learning in NVL networks is </w:t>
      </w:r>
      <w:r w:rsidR="00101749">
        <w:t xml:space="preserve">much </w:t>
      </w:r>
      <w:r>
        <w:t xml:space="preserve">more than </w:t>
      </w:r>
      <w:r w:rsidR="00101749">
        <w:t xml:space="preserve">just </w:t>
      </w:r>
      <w:r>
        <w:t>a result of ‘inspiration’.</w:t>
      </w:r>
    </w:p>
    <w:p w14:paraId="74883B72" w14:textId="3222869A" w:rsidR="00A123F9" w:rsidRDefault="00741507" w:rsidP="00A718C4">
      <w:pPr>
        <w:spacing w:line="360" w:lineRule="auto"/>
        <w:rPr>
          <w:rFonts w:eastAsia="Calibri"/>
          <w:lang w:val="en-US" w:eastAsia="en-US"/>
        </w:rPr>
      </w:pPr>
      <w:r>
        <w:rPr>
          <w:rFonts w:eastAsia="Calibri"/>
          <w:lang w:val="en-US" w:eastAsia="en-US"/>
        </w:rPr>
        <w:t>An interviewee elaborated on the output</w:t>
      </w:r>
      <w:r w:rsidR="00A123F9">
        <w:rPr>
          <w:rFonts w:eastAsia="Calibri"/>
          <w:lang w:val="en-US" w:eastAsia="en-US"/>
        </w:rPr>
        <w:t xml:space="preserve"> of the process </w:t>
      </w:r>
      <w:r>
        <w:rPr>
          <w:rFonts w:eastAsia="Calibri"/>
          <w:lang w:val="en-US" w:eastAsia="en-US"/>
        </w:rPr>
        <w:t>indicating that hybridi</w:t>
      </w:r>
      <w:r w:rsidR="003E551C">
        <w:rPr>
          <w:rFonts w:eastAsia="Calibri"/>
          <w:lang w:val="en-US" w:eastAsia="en-US"/>
        </w:rPr>
        <w:t>s</w:t>
      </w:r>
      <w:r>
        <w:rPr>
          <w:rFonts w:eastAsia="Calibri"/>
          <w:lang w:val="en-US" w:eastAsia="en-US"/>
        </w:rPr>
        <w:t xml:space="preserve">ation/synthesis of experiences in all Nordic countries </w:t>
      </w:r>
      <w:r w:rsidR="00EE575C">
        <w:rPr>
          <w:rFonts w:eastAsia="Calibri"/>
          <w:lang w:val="en-US" w:eastAsia="en-US"/>
        </w:rPr>
        <w:t>might</w:t>
      </w:r>
      <w:r>
        <w:rPr>
          <w:rFonts w:eastAsia="Calibri"/>
          <w:lang w:val="en-US" w:eastAsia="en-US"/>
        </w:rPr>
        <w:t xml:space="preserve"> be the important way to create output</w:t>
      </w:r>
      <w:r w:rsidR="00796DB2">
        <w:rPr>
          <w:rFonts w:eastAsia="Calibri"/>
          <w:lang w:val="en-US" w:eastAsia="en-US"/>
        </w:rPr>
        <w:t xml:space="preserve"> </w:t>
      </w:r>
      <w:r w:rsidR="00271C60">
        <w:rPr>
          <w:rFonts w:eastAsia="Calibri"/>
          <w:lang w:val="en-US" w:eastAsia="en-US"/>
        </w:rPr>
        <w:t>in</w:t>
      </w:r>
      <w:r w:rsidR="00796DB2">
        <w:rPr>
          <w:rFonts w:eastAsia="Calibri"/>
          <w:lang w:val="en-US" w:eastAsia="en-US"/>
        </w:rPr>
        <w:t xml:space="preserve"> this particular case</w:t>
      </w:r>
      <w:r w:rsidR="00271C60">
        <w:rPr>
          <w:rFonts w:eastAsia="Calibri"/>
          <w:lang w:val="en-US" w:eastAsia="en-US"/>
        </w:rPr>
        <w:t>.</w:t>
      </w:r>
      <w:r>
        <w:rPr>
          <w:rFonts w:eastAsia="Calibri"/>
          <w:lang w:val="en-US" w:eastAsia="en-US"/>
        </w:rPr>
        <w:t xml:space="preserve"> </w:t>
      </w:r>
    </w:p>
    <w:p w14:paraId="21D5FC82" w14:textId="58B65A13" w:rsidR="00A123F9" w:rsidRPr="00A123F9" w:rsidRDefault="00A123F9" w:rsidP="00A718C4">
      <w:pPr>
        <w:pStyle w:val="citater"/>
        <w:spacing w:line="360" w:lineRule="auto"/>
      </w:pPr>
      <w:r w:rsidRPr="004279E1">
        <w:rPr>
          <w:i/>
          <w:iCs/>
        </w:rPr>
        <w:t>“So then we decided to start developing this kind of tool</w:t>
      </w:r>
      <w:r w:rsidR="00837431" w:rsidRPr="004279E1">
        <w:rPr>
          <w:i/>
          <w:iCs/>
        </w:rPr>
        <w:t>,</w:t>
      </w:r>
      <w:r w:rsidRPr="004279E1">
        <w:rPr>
          <w:i/>
          <w:iCs/>
        </w:rPr>
        <w:t xml:space="preserve"> both for practitioners and policy-makers. And that was a long process, because the first part was the mapping process, so each of the Nordic countries went through the legislation meticulously, the validation</w:t>
      </w:r>
      <w:r w:rsidR="003E551C">
        <w:rPr>
          <w:i/>
          <w:iCs/>
        </w:rPr>
        <w:t>-</w:t>
      </w:r>
      <w:r w:rsidRPr="004279E1">
        <w:rPr>
          <w:i/>
          <w:iCs/>
        </w:rPr>
        <w:t>related legislation, and read through what kind of quality assurance issues were mentioned in th</w:t>
      </w:r>
      <w:r w:rsidR="00837431" w:rsidRPr="004279E1">
        <w:rPr>
          <w:i/>
          <w:iCs/>
        </w:rPr>
        <w:t>at</w:t>
      </w:r>
      <w:r w:rsidR="005A26F1" w:rsidRPr="004279E1">
        <w:rPr>
          <w:i/>
          <w:iCs/>
        </w:rPr>
        <w:t>…</w:t>
      </w:r>
      <w:r w:rsidRPr="004279E1">
        <w:rPr>
          <w:i/>
          <w:iCs/>
        </w:rPr>
        <w:t xml:space="preserve"> </w:t>
      </w:r>
      <w:r w:rsidR="000249CF" w:rsidRPr="004279E1">
        <w:rPr>
          <w:i/>
          <w:iCs/>
        </w:rPr>
        <w:t xml:space="preserve">[…] </w:t>
      </w:r>
      <w:r w:rsidRPr="004279E1">
        <w:rPr>
          <w:i/>
          <w:iCs/>
        </w:rPr>
        <w:t>And then after that, there was a team of researchers who put all these country reports together, and they then funne</w:t>
      </w:r>
      <w:r w:rsidR="008631DB" w:rsidRPr="004279E1">
        <w:rPr>
          <w:i/>
          <w:iCs/>
        </w:rPr>
        <w:t>l</w:t>
      </w:r>
      <w:r w:rsidRPr="004279E1">
        <w:rPr>
          <w:i/>
          <w:iCs/>
        </w:rPr>
        <w:t>led the most important aspects that were visible in each country</w:t>
      </w:r>
      <w:r w:rsidR="008631DB" w:rsidRPr="004279E1">
        <w:rPr>
          <w:i/>
          <w:iCs/>
        </w:rPr>
        <w:t>;</w:t>
      </w:r>
      <w:r w:rsidRPr="004279E1">
        <w:rPr>
          <w:i/>
          <w:iCs/>
        </w:rPr>
        <w:t xml:space="preserve"> from that, we started working as a group without the researchers; we started working as a group to create the quality assurance tool.”</w:t>
      </w:r>
      <w:r>
        <w:t xml:space="preserve"> </w:t>
      </w:r>
      <w:r w:rsidRPr="00A123F9">
        <w:t>(</w:t>
      </w:r>
      <w:r>
        <w:t>Interview 4).</w:t>
      </w:r>
    </w:p>
    <w:p w14:paraId="3BA047C2" w14:textId="76E7C804" w:rsidR="00D453C2" w:rsidRDefault="003F758C" w:rsidP="00A718C4">
      <w:pPr>
        <w:spacing w:line="360" w:lineRule="auto"/>
        <w:rPr>
          <w:lang w:val="en-US"/>
        </w:rPr>
      </w:pPr>
      <w:r>
        <w:t>T</w:t>
      </w:r>
      <w:r w:rsidR="00C656EB">
        <w:t xml:space="preserve">his </w:t>
      </w:r>
      <w:r w:rsidR="00872CD4">
        <w:t>sectorial</w:t>
      </w:r>
      <w:r w:rsidR="00C656EB">
        <w:t xml:space="preserve"> network </w:t>
      </w:r>
      <w:r w:rsidR="00D25748">
        <w:t xml:space="preserve">on validation </w:t>
      </w:r>
      <w:r w:rsidR="00C656EB">
        <w:t>has been able to come up with proposals that could potentially change</w:t>
      </w:r>
      <w:r w:rsidR="00A123F9">
        <w:t xml:space="preserve"> national </w:t>
      </w:r>
      <w:r w:rsidR="00796DB2">
        <w:t>policies</w:t>
      </w:r>
      <w:r w:rsidR="003E551C">
        <w:t>,</w:t>
      </w:r>
      <w:r w:rsidR="00796DB2">
        <w:t xml:space="preserve"> even though we have not investigated whether this piece of policy learning </w:t>
      </w:r>
      <w:r w:rsidR="00EE575C">
        <w:t>was</w:t>
      </w:r>
      <w:r w:rsidR="00796DB2">
        <w:t xml:space="preserve"> actually implemented. </w:t>
      </w:r>
      <w:r w:rsidR="00A123F9">
        <w:rPr>
          <w:lang w:val="en-US"/>
        </w:rPr>
        <w:t xml:space="preserve"> </w:t>
      </w:r>
    </w:p>
    <w:p w14:paraId="57900172" w14:textId="1B488A81" w:rsidR="00DB07EC" w:rsidRDefault="0018175E" w:rsidP="00A718C4">
      <w:pPr>
        <w:spacing w:line="360" w:lineRule="auto"/>
        <w:rPr>
          <w:lang w:val="en-US"/>
        </w:rPr>
      </w:pPr>
      <w:r>
        <w:rPr>
          <w:lang w:val="en-US"/>
        </w:rPr>
        <w:t>A</w:t>
      </w:r>
      <w:r w:rsidR="00741507">
        <w:rPr>
          <w:lang w:val="en-US"/>
        </w:rPr>
        <w:t>n</w:t>
      </w:r>
      <w:r>
        <w:rPr>
          <w:lang w:val="en-US"/>
        </w:rPr>
        <w:t xml:space="preserve"> example of the </w:t>
      </w:r>
      <w:r w:rsidR="00F84EAD">
        <w:rPr>
          <w:lang w:val="en-US"/>
        </w:rPr>
        <w:t xml:space="preserve">perceived </w:t>
      </w:r>
      <w:r>
        <w:rPr>
          <w:lang w:val="en-US"/>
        </w:rPr>
        <w:t xml:space="preserve">policy learning </w:t>
      </w:r>
      <w:r w:rsidR="009F4047">
        <w:rPr>
          <w:lang w:val="en-US"/>
        </w:rPr>
        <w:t>output from</w:t>
      </w:r>
      <w:r>
        <w:rPr>
          <w:lang w:val="en-US"/>
        </w:rPr>
        <w:t xml:space="preserve"> NVL is </w:t>
      </w:r>
      <w:r w:rsidR="003E551C">
        <w:rPr>
          <w:lang w:val="en-US"/>
        </w:rPr>
        <w:t>that</w:t>
      </w:r>
      <w:r w:rsidR="009F4047">
        <w:rPr>
          <w:lang w:val="en-US"/>
        </w:rPr>
        <w:t xml:space="preserve"> from the </w:t>
      </w:r>
      <w:r w:rsidR="00872CD4">
        <w:rPr>
          <w:lang w:val="en-US"/>
        </w:rPr>
        <w:t>sectorial</w:t>
      </w:r>
      <w:r>
        <w:rPr>
          <w:lang w:val="en-US"/>
        </w:rPr>
        <w:t xml:space="preserve"> network </w:t>
      </w:r>
      <w:r w:rsidR="0096673B">
        <w:rPr>
          <w:lang w:val="en-US"/>
        </w:rPr>
        <w:t>on adult learning of foreign languages</w:t>
      </w:r>
      <w:r>
        <w:rPr>
          <w:lang w:val="en-US"/>
        </w:rPr>
        <w:t>, which works “</w:t>
      </w:r>
      <w:r w:rsidRPr="007B294F">
        <w:rPr>
          <w:i/>
          <w:lang w:val="en-US"/>
        </w:rPr>
        <w:t xml:space="preserve">with </w:t>
      </w:r>
      <w:r w:rsidR="00532DFE" w:rsidRPr="007B294F">
        <w:rPr>
          <w:i/>
          <w:lang w:val="en-US"/>
        </w:rPr>
        <w:t xml:space="preserve">language training for newly arrived immigrants or people with insufficient language skills when </w:t>
      </w:r>
      <w:r w:rsidR="004A6319">
        <w:rPr>
          <w:i/>
          <w:lang w:val="en-US"/>
        </w:rPr>
        <w:t>they</w:t>
      </w:r>
      <w:r w:rsidR="00532DFE" w:rsidRPr="007B294F">
        <w:rPr>
          <w:i/>
          <w:lang w:val="en-US"/>
        </w:rPr>
        <w:t xml:space="preserve"> are learning Danish, Finnish, Norwegian </w:t>
      </w:r>
      <w:r w:rsidR="008631DB" w:rsidRPr="007B294F">
        <w:rPr>
          <w:i/>
          <w:lang w:val="en-US"/>
        </w:rPr>
        <w:t>of</w:t>
      </w:r>
      <w:r w:rsidR="00532DFE" w:rsidRPr="007B294F">
        <w:rPr>
          <w:i/>
          <w:lang w:val="en-US"/>
        </w:rPr>
        <w:t xml:space="preserve"> Swedish as a second language</w:t>
      </w:r>
      <w:r w:rsidR="00532DFE">
        <w:rPr>
          <w:lang w:val="en-US"/>
        </w:rPr>
        <w:t xml:space="preserve">” (Interview 6). In this respect, the </w:t>
      </w:r>
      <w:r w:rsidR="003F758C">
        <w:rPr>
          <w:lang w:val="en-US"/>
        </w:rPr>
        <w:t>common</w:t>
      </w:r>
      <w:r w:rsidR="00532DFE">
        <w:rPr>
          <w:lang w:val="en-US"/>
        </w:rPr>
        <w:t xml:space="preserve"> </w:t>
      </w:r>
      <w:r w:rsidR="003F758C">
        <w:rPr>
          <w:lang w:val="en-US"/>
        </w:rPr>
        <w:t xml:space="preserve">belief among participants </w:t>
      </w:r>
      <w:r w:rsidR="00532DFE">
        <w:rPr>
          <w:lang w:val="en-US"/>
        </w:rPr>
        <w:t xml:space="preserve">is that the public should assist people in an efficient and professional way when learning Nordic languages in order to integrate better in society. </w:t>
      </w:r>
      <w:r w:rsidR="00330885">
        <w:rPr>
          <w:lang w:val="en-US"/>
        </w:rPr>
        <w:t>Or in the word</w:t>
      </w:r>
      <w:r w:rsidR="003E551C">
        <w:rPr>
          <w:lang w:val="en-US"/>
        </w:rPr>
        <w:t>s</w:t>
      </w:r>
      <w:r w:rsidR="00330885">
        <w:rPr>
          <w:lang w:val="en-US"/>
        </w:rPr>
        <w:t xml:space="preserve"> of a member of </w:t>
      </w:r>
      <w:r w:rsidR="0096673B">
        <w:rPr>
          <w:lang w:val="en-US"/>
        </w:rPr>
        <w:t xml:space="preserve">the network </w:t>
      </w:r>
      <w:r w:rsidR="00330885">
        <w:rPr>
          <w:lang w:val="en-US"/>
        </w:rPr>
        <w:t xml:space="preserve">about </w:t>
      </w:r>
      <w:r w:rsidR="0096673B">
        <w:rPr>
          <w:lang w:val="en-US"/>
        </w:rPr>
        <w:t>its</w:t>
      </w:r>
      <w:r w:rsidR="00A15F7D">
        <w:rPr>
          <w:lang w:val="en-US"/>
        </w:rPr>
        <w:t xml:space="preserve"> </w:t>
      </w:r>
      <w:r w:rsidR="00A15F7D" w:rsidRPr="00A15F7D">
        <w:rPr>
          <w:lang w:val="en-US"/>
        </w:rPr>
        <w:t>raison d'être</w:t>
      </w:r>
      <w:r w:rsidR="00330885">
        <w:rPr>
          <w:lang w:val="en-US"/>
        </w:rPr>
        <w:t>: “</w:t>
      </w:r>
      <w:r w:rsidR="00330885" w:rsidRPr="007B294F">
        <w:rPr>
          <w:i/>
          <w:lang w:val="en-US"/>
        </w:rPr>
        <w:t>everyone in society must have equal opportunities</w:t>
      </w:r>
      <w:r w:rsidR="00330885">
        <w:rPr>
          <w:lang w:val="en-US"/>
        </w:rPr>
        <w:t xml:space="preserve">” (Interview 6). </w:t>
      </w:r>
      <w:r w:rsidR="00612A97">
        <w:rPr>
          <w:lang w:val="en-US"/>
        </w:rPr>
        <w:t xml:space="preserve"> T</w:t>
      </w:r>
      <w:r w:rsidR="009F4047">
        <w:rPr>
          <w:lang w:val="en-US"/>
        </w:rPr>
        <w:t xml:space="preserve">his common belief is </w:t>
      </w:r>
      <w:r w:rsidR="00612A97">
        <w:rPr>
          <w:lang w:val="en-US"/>
        </w:rPr>
        <w:t>there from the beginning</w:t>
      </w:r>
      <w:r w:rsidR="008809BE">
        <w:rPr>
          <w:lang w:val="en-US"/>
        </w:rPr>
        <w:t xml:space="preserve"> of the policy learning processes in NVL</w:t>
      </w:r>
      <w:r w:rsidR="003F758C">
        <w:rPr>
          <w:lang w:val="en-US"/>
        </w:rPr>
        <w:t>, and – as mentioned above</w:t>
      </w:r>
      <w:r w:rsidR="00EE575C">
        <w:rPr>
          <w:lang w:val="en-US"/>
        </w:rPr>
        <w:t xml:space="preserve"> in the article</w:t>
      </w:r>
      <w:r w:rsidR="003F758C">
        <w:rPr>
          <w:lang w:val="en-US"/>
        </w:rPr>
        <w:t xml:space="preserve"> – this </w:t>
      </w:r>
      <w:r w:rsidR="009A3C47">
        <w:rPr>
          <w:lang w:val="en-US"/>
        </w:rPr>
        <w:t xml:space="preserve">Nordic </w:t>
      </w:r>
      <w:r w:rsidR="003F758C">
        <w:rPr>
          <w:lang w:val="en-US"/>
        </w:rPr>
        <w:t>‘value consensus’ enhance</w:t>
      </w:r>
      <w:r w:rsidR="003E551C">
        <w:rPr>
          <w:lang w:val="en-US"/>
        </w:rPr>
        <w:t>s</w:t>
      </w:r>
      <w:r w:rsidR="003F758C">
        <w:rPr>
          <w:lang w:val="en-US"/>
        </w:rPr>
        <w:t xml:space="preserve"> the probability of </w:t>
      </w:r>
      <w:r w:rsidR="009F4047">
        <w:rPr>
          <w:lang w:val="en-US"/>
        </w:rPr>
        <w:t xml:space="preserve">a </w:t>
      </w:r>
      <w:r w:rsidR="003F758C">
        <w:rPr>
          <w:lang w:val="en-US"/>
        </w:rPr>
        <w:t xml:space="preserve">successful </w:t>
      </w:r>
      <w:r w:rsidR="009F4047">
        <w:rPr>
          <w:lang w:val="en-US"/>
        </w:rPr>
        <w:t>output of the process</w:t>
      </w:r>
      <w:r w:rsidR="003F758C">
        <w:rPr>
          <w:lang w:val="en-US"/>
        </w:rPr>
        <w:t xml:space="preserve"> (Dolowitz and March, 1996, p. 354)</w:t>
      </w:r>
      <w:r w:rsidR="009A3C47">
        <w:rPr>
          <w:lang w:val="en-US"/>
        </w:rPr>
        <w:t xml:space="preserve"> (see also chapter </w:t>
      </w:r>
      <w:r w:rsidR="008A7954">
        <w:rPr>
          <w:lang w:val="en-US"/>
        </w:rPr>
        <w:t>chapter 5 of this book)</w:t>
      </w:r>
      <w:r w:rsidR="00612A97">
        <w:rPr>
          <w:lang w:val="en-US"/>
        </w:rPr>
        <w:t>.</w:t>
      </w:r>
      <w:r w:rsidR="00330885">
        <w:rPr>
          <w:lang w:val="en-US"/>
        </w:rPr>
        <w:t xml:space="preserve"> </w:t>
      </w:r>
    </w:p>
    <w:p w14:paraId="0994A741" w14:textId="03C39B96" w:rsidR="0096146A" w:rsidRPr="00BC7CB9" w:rsidRDefault="009F4047" w:rsidP="00A718C4">
      <w:pPr>
        <w:spacing w:line="360" w:lineRule="auto"/>
        <w:rPr>
          <w:lang w:val="en-US"/>
        </w:rPr>
      </w:pPr>
      <w:r>
        <w:rPr>
          <w:lang w:val="en-US"/>
        </w:rPr>
        <w:t xml:space="preserve">Generally, </w:t>
      </w:r>
      <w:r w:rsidR="008809BE">
        <w:rPr>
          <w:lang w:val="en-US"/>
        </w:rPr>
        <w:t>hybridi</w:t>
      </w:r>
      <w:r w:rsidR="003E551C">
        <w:rPr>
          <w:lang w:val="en-US"/>
        </w:rPr>
        <w:t>s</w:t>
      </w:r>
      <w:r w:rsidR="008809BE">
        <w:rPr>
          <w:lang w:val="en-US"/>
        </w:rPr>
        <w:t xml:space="preserve">ation/synthesis is </w:t>
      </w:r>
      <w:r w:rsidR="00EE575C">
        <w:rPr>
          <w:lang w:val="en-US"/>
        </w:rPr>
        <w:t xml:space="preserve">probably </w:t>
      </w:r>
      <w:r w:rsidR="008809BE">
        <w:rPr>
          <w:lang w:val="en-US"/>
        </w:rPr>
        <w:t>the most important policy learning option exploited in the NVL</w:t>
      </w:r>
      <w:r w:rsidR="00EE575C">
        <w:rPr>
          <w:lang w:val="en-US"/>
        </w:rPr>
        <w:t xml:space="preserve"> when it comes to the output of policy learning. However, </w:t>
      </w:r>
      <w:r w:rsidR="001323B6">
        <w:rPr>
          <w:lang w:val="en-US"/>
        </w:rPr>
        <w:t xml:space="preserve">emulation of </w:t>
      </w:r>
      <w:r w:rsidR="00DB07EC" w:rsidRPr="00DB07EC">
        <w:rPr>
          <w:lang w:val="en-US"/>
        </w:rPr>
        <w:t>practical tools</w:t>
      </w:r>
      <w:r w:rsidR="008809BE">
        <w:rPr>
          <w:lang w:val="en-US"/>
        </w:rPr>
        <w:t xml:space="preserve"> </w:t>
      </w:r>
      <w:r w:rsidR="00EE575C">
        <w:rPr>
          <w:lang w:val="en-US"/>
        </w:rPr>
        <w:t xml:space="preserve">found </w:t>
      </w:r>
      <w:r w:rsidR="008809BE">
        <w:rPr>
          <w:lang w:val="en-US"/>
        </w:rPr>
        <w:t>in the Nordic countries are also a</w:t>
      </w:r>
      <w:r w:rsidR="003E551C">
        <w:rPr>
          <w:lang w:val="en-US"/>
        </w:rPr>
        <w:t xml:space="preserve">n </w:t>
      </w:r>
      <w:r w:rsidR="008809BE">
        <w:rPr>
          <w:lang w:val="en-US"/>
        </w:rPr>
        <w:t>option</w:t>
      </w:r>
      <w:r>
        <w:rPr>
          <w:lang w:val="en-US"/>
        </w:rPr>
        <w:t xml:space="preserve"> as far as language training of newly arrived immigrants </w:t>
      </w:r>
      <w:r w:rsidR="003E551C">
        <w:rPr>
          <w:lang w:val="en-US"/>
        </w:rPr>
        <w:t>is</w:t>
      </w:r>
      <w:r>
        <w:rPr>
          <w:lang w:val="en-US"/>
        </w:rPr>
        <w:t xml:space="preserve"> concerned</w:t>
      </w:r>
      <w:r w:rsidR="00DB07EC">
        <w:rPr>
          <w:lang w:val="en-US"/>
        </w:rPr>
        <w:t xml:space="preserve">. These </w:t>
      </w:r>
      <w:r w:rsidR="007B294F">
        <w:rPr>
          <w:lang w:val="en-US"/>
        </w:rPr>
        <w:t xml:space="preserve">are concrete </w:t>
      </w:r>
      <w:r w:rsidR="00DB07EC">
        <w:rPr>
          <w:lang w:val="en-US"/>
        </w:rPr>
        <w:t>teaching plans, quality assurance systems</w:t>
      </w:r>
      <w:r w:rsidR="00790FD5">
        <w:rPr>
          <w:lang w:val="en-US"/>
        </w:rPr>
        <w:t xml:space="preserve"> for teaching, </w:t>
      </w:r>
      <w:r w:rsidR="007B294F">
        <w:rPr>
          <w:lang w:val="en-US"/>
        </w:rPr>
        <w:t xml:space="preserve">detailed </w:t>
      </w:r>
      <w:r w:rsidR="00790FD5">
        <w:rPr>
          <w:lang w:val="en-US"/>
        </w:rPr>
        <w:t xml:space="preserve">competence descriptions for </w:t>
      </w:r>
      <w:r w:rsidR="004A6319">
        <w:rPr>
          <w:lang w:val="en-US"/>
        </w:rPr>
        <w:t>educators</w:t>
      </w:r>
      <w:r w:rsidR="00790FD5">
        <w:rPr>
          <w:lang w:val="en-US"/>
        </w:rPr>
        <w:t xml:space="preserve"> teaching Nordic languages</w:t>
      </w:r>
      <w:r w:rsidR="00EE575C">
        <w:rPr>
          <w:lang w:val="en-US"/>
        </w:rPr>
        <w:t>, etc.</w:t>
      </w:r>
      <w:r w:rsidR="00790FD5">
        <w:rPr>
          <w:lang w:val="en-US"/>
        </w:rPr>
        <w:t xml:space="preserve"> </w:t>
      </w:r>
      <w:r w:rsidR="007B294F">
        <w:rPr>
          <w:lang w:val="en-US"/>
        </w:rPr>
        <w:t xml:space="preserve">published </w:t>
      </w:r>
      <w:r w:rsidR="00790FD5">
        <w:rPr>
          <w:lang w:val="en-US"/>
        </w:rPr>
        <w:t xml:space="preserve">under the auspices of </w:t>
      </w:r>
      <w:r w:rsidR="0096673B">
        <w:rPr>
          <w:lang w:val="en-US"/>
        </w:rPr>
        <w:t>the network</w:t>
      </w:r>
      <w:r w:rsidR="00790FD5">
        <w:rPr>
          <w:lang w:val="en-US"/>
        </w:rPr>
        <w:t xml:space="preserve"> (Interview 7).</w:t>
      </w:r>
    </w:p>
    <w:p w14:paraId="1D312144" w14:textId="67949439" w:rsidR="00DF7EF3" w:rsidRPr="009E4242" w:rsidRDefault="00E16400" w:rsidP="00A718C4">
      <w:pPr>
        <w:pStyle w:val="Heading1"/>
      </w:pPr>
      <w:r>
        <w:t>Conclusion</w:t>
      </w:r>
    </w:p>
    <w:p w14:paraId="67D621B9" w14:textId="77777777" w:rsidR="003E3F58" w:rsidRDefault="006B3DB6" w:rsidP="00A718C4">
      <w:pPr>
        <w:spacing w:line="360" w:lineRule="auto"/>
      </w:pPr>
      <w:r>
        <w:t xml:space="preserve">The </w:t>
      </w:r>
      <w:r w:rsidR="007A6B8B">
        <w:t xml:space="preserve">subject of this </w:t>
      </w:r>
      <w:r w:rsidR="008A7954">
        <w:t>chapter</w:t>
      </w:r>
      <w:r w:rsidR="007A6B8B">
        <w:t xml:space="preserve"> is policy learning among the Nordic countries, where it has been cultivated for more than 50 years. </w:t>
      </w:r>
      <w:r w:rsidR="003E3F58" w:rsidRPr="003E3F58">
        <w:t xml:space="preserve">We have selected NVL as a case because it seems to represent Nordic Council of Ministers networks in general. </w:t>
      </w:r>
    </w:p>
    <w:p w14:paraId="312E2764" w14:textId="0B8AD33A" w:rsidR="006B3DB6" w:rsidRDefault="002414FF" w:rsidP="00A718C4">
      <w:pPr>
        <w:spacing w:line="360" w:lineRule="auto"/>
      </w:pPr>
      <w:r>
        <w:t xml:space="preserve">The Nordic Council of Ministers is a very flexible organisation, which is able to respond to varies political wishes. It is organised via a layered structure with ministers at the top, senior civil servants in the middle with supervisory tasks, and experts in the many networks at the ground level where the active policy learning takes place. </w:t>
      </w:r>
    </w:p>
    <w:p w14:paraId="0781F9E9" w14:textId="10E44C55" w:rsidR="001D3626" w:rsidRDefault="001D3626" w:rsidP="00A718C4">
      <w:pPr>
        <w:spacing w:line="360" w:lineRule="auto"/>
      </w:pPr>
      <w:r>
        <w:t>In response to the first research question</w:t>
      </w:r>
      <w:r w:rsidR="005A26F1">
        <w:t xml:space="preserve"> </w:t>
      </w:r>
      <w:r w:rsidR="004F0D6E">
        <w:t xml:space="preserve">about what characterises the </w:t>
      </w:r>
      <w:r w:rsidR="008A7954">
        <w:t xml:space="preserve">policy learning </w:t>
      </w:r>
      <w:r w:rsidR="004F0D6E">
        <w:t>process</w:t>
      </w:r>
      <w:r w:rsidR="002414FF">
        <w:t xml:space="preserve"> in the Nordic Council of Ministers</w:t>
      </w:r>
      <w:r w:rsidR="00212393">
        <w:t xml:space="preserve">, </w:t>
      </w:r>
      <w:r w:rsidR="00EE575C">
        <w:t xml:space="preserve">the conclusion is that </w:t>
      </w:r>
      <w:r w:rsidR="004F0D6E">
        <w:t xml:space="preserve">it is dominated by epistemic and reflexive modes of policy learning. In historic terms, the bargaining mode of policy learning also played a role in NVL, but its importance has now diminished. </w:t>
      </w:r>
      <w:r>
        <w:t>In response to the second research question</w:t>
      </w:r>
      <w:r w:rsidR="004F0D6E">
        <w:t xml:space="preserve"> about the output of the policy learning of NVL as perceived by its participants, emulation and hybridi</w:t>
      </w:r>
      <w:r w:rsidR="00212393">
        <w:t>s</w:t>
      </w:r>
      <w:r w:rsidR="004F0D6E">
        <w:t>ation/synthesis dominates</w:t>
      </w:r>
      <w:r w:rsidR="00212393">
        <w:t>,</w:t>
      </w:r>
      <w:r w:rsidR="004F0D6E">
        <w:t xml:space="preserve"> according to the interviewees, with the latter option </w:t>
      </w:r>
      <w:r w:rsidR="00EE575C">
        <w:t xml:space="preserve">probably </w:t>
      </w:r>
      <w:r w:rsidR="004F0D6E">
        <w:t>the most pronounced</w:t>
      </w:r>
      <w:r w:rsidR="00212393">
        <w:t xml:space="preserve">. </w:t>
      </w:r>
      <w:r w:rsidR="004F0D6E">
        <w:t xml:space="preserve">This reflects that policy learning in NVL seem to be much more than ‘inspirational’, but also </w:t>
      </w:r>
      <w:r w:rsidR="00EE575C">
        <w:t>less</w:t>
      </w:r>
      <w:r w:rsidR="004F0D6E">
        <w:t xml:space="preserve"> than ‘copying’ policy programmes from other countries.</w:t>
      </w:r>
    </w:p>
    <w:p w14:paraId="7166F902" w14:textId="34EB0918" w:rsidR="00E004CB" w:rsidRDefault="00E004CB" w:rsidP="00A718C4">
      <w:pPr>
        <w:spacing w:line="360" w:lineRule="auto"/>
      </w:pPr>
      <w:r>
        <w:t>There is a ‘value consensus’ where</w:t>
      </w:r>
      <w:r w:rsidR="002C5AF4">
        <w:t xml:space="preserve"> beliefs </w:t>
      </w:r>
      <w:r>
        <w:t>are</w:t>
      </w:r>
      <w:r w:rsidR="002C5AF4">
        <w:t xml:space="preserve"> largely similar among the Nordic actors of NVL because of the common policy attitudes among th</w:t>
      </w:r>
      <w:r w:rsidR="004A6319">
        <w:t>os</w:t>
      </w:r>
      <w:r w:rsidR="002C5AF4">
        <w:t xml:space="preserve">e countries as far as adult learning is concerned, </w:t>
      </w:r>
      <w:r w:rsidR="00741848">
        <w:t xml:space="preserve">which is </w:t>
      </w:r>
      <w:r w:rsidR="00EE575C">
        <w:t xml:space="preserve">far from always </w:t>
      </w:r>
      <w:r w:rsidR="00741848">
        <w:t xml:space="preserve">the case in other regional settings. </w:t>
      </w:r>
      <w:r w:rsidR="00514F48">
        <w:t xml:space="preserve">This fact certainly helps policy learning processes to take place; however, it is the organisation of NVL that explains </w:t>
      </w:r>
      <w:r w:rsidR="00212393">
        <w:t>its</w:t>
      </w:r>
      <w:r w:rsidR="00514F48">
        <w:t xml:space="preserve"> success </w:t>
      </w:r>
      <w:r w:rsidR="00212393">
        <w:t>in</w:t>
      </w:r>
      <w:r w:rsidR="00514F48">
        <w:t xml:space="preserve"> trigger</w:t>
      </w:r>
      <w:r w:rsidR="00212393">
        <w:t>ing</w:t>
      </w:r>
      <w:r w:rsidR="00514F48">
        <w:t xml:space="preserve"> </w:t>
      </w:r>
      <w:r w:rsidR="00EE575C">
        <w:t>this policy learning potential</w:t>
      </w:r>
      <w:r w:rsidR="00514F48">
        <w:t xml:space="preserve">. </w:t>
      </w:r>
    </w:p>
    <w:p w14:paraId="02C8E0E7" w14:textId="4D8FC491" w:rsidR="00A53D2C" w:rsidRDefault="002C5AF4" w:rsidP="00A718C4">
      <w:pPr>
        <w:spacing w:line="360" w:lineRule="auto"/>
      </w:pPr>
      <w:r>
        <w:t xml:space="preserve"> </w:t>
      </w:r>
      <w:r w:rsidR="003E3F58">
        <w:t xml:space="preserve">However, </w:t>
      </w:r>
      <w:r w:rsidR="00E004CB" w:rsidRPr="00E004CB">
        <w:t xml:space="preserve">it remains an open question </w:t>
      </w:r>
      <w:r w:rsidR="00212393">
        <w:t xml:space="preserve">as to </w:t>
      </w:r>
      <w:r w:rsidR="00E004CB" w:rsidRPr="00E004CB">
        <w:t xml:space="preserve">whether the results can be generalised to other international policy learning networks. Probably, </w:t>
      </w:r>
      <w:r w:rsidR="00336F9F">
        <w:t>it</w:t>
      </w:r>
      <w:r w:rsidR="00E004CB" w:rsidRPr="00E004CB">
        <w:t xml:space="preserve"> can if the ‘value consensus’ among the analysed countries is also high</w:t>
      </w:r>
      <w:r w:rsidR="00212393">
        <w:t>,</w:t>
      </w:r>
      <w:r w:rsidR="00E004CB" w:rsidRPr="00E004CB">
        <w:t xml:space="preserve"> as is the case of the Nordic countries. And </w:t>
      </w:r>
      <w:r w:rsidR="00336F9F">
        <w:t xml:space="preserve">probably it can be generalised </w:t>
      </w:r>
      <w:r w:rsidR="004A00E8">
        <w:t>to a lesser degree</w:t>
      </w:r>
      <w:r w:rsidR="00E004CB" w:rsidRPr="00E004CB">
        <w:t>, if the ‘value consensus’ is low.</w:t>
      </w:r>
      <w:r w:rsidR="00E8518C">
        <w:t xml:space="preserve"> </w:t>
      </w:r>
      <w:r w:rsidR="004A00E8">
        <w:t xml:space="preserve">If and when </w:t>
      </w:r>
      <w:r w:rsidR="004C023A">
        <w:t xml:space="preserve">policy learning networks in </w:t>
      </w:r>
      <w:r w:rsidR="000249CF">
        <w:t>other international networks want to</w:t>
      </w:r>
      <w:r w:rsidR="004C023A">
        <w:t xml:space="preserve"> learn from the Nordic countries, they could do so </w:t>
      </w:r>
      <w:r w:rsidR="001A22AA">
        <w:t>in</w:t>
      </w:r>
      <w:r w:rsidR="004C023A">
        <w:t xml:space="preserve"> the following way: a) By member states sending </w:t>
      </w:r>
      <w:r w:rsidR="00B634F8">
        <w:t>mainly</w:t>
      </w:r>
      <w:r w:rsidR="004C023A">
        <w:t xml:space="preserve"> experts and not country represent</w:t>
      </w:r>
      <w:r w:rsidR="00B634F8">
        <w:t>at</w:t>
      </w:r>
      <w:r w:rsidR="00665986">
        <w:t>ive</w:t>
      </w:r>
      <w:r w:rsidR="004C023A">
        <w:t xml:space="preserve">s to the networks. b) By not giving participants in the networks any </w:t>
      </w:r>
      <w:r w:rsidR="001A22AA">
        <w:t xml:space="preserve">strict </w:t>
      </w:r>
      <w:r w:rsidR="004C023A">
        <w:t>mandate</w:t>
      </w:r>
      <w:r w:rsidR="001A22AA">
        <w:t>s</w:t>
      </w:r>
      <w:r w:rsidR="004C023A">
        <w:t xml:space="preserve">. c) By being more flexible when it comes to closing down and setting up new networks. d) </w:t>
      </w:r>
      <w:r w:rsidR="001A22AA">
        <w:t>Finally, b</w:t>
      </w:r>
      <w:r w:rsidR="004C023A">
        <w:t xml:space="preserve">y cultivating </w:t>
      </w:r>
      <w:r w:rsidR="001D3626">
        <w:t>‘value consensus’</w:t>
      </w:r>
      <w:r w:rsidR="004C023A">
        <w:t xml:space="preserve"> when it comes to </w:t>
      </w:r>
      <w:r w:rsidR="00665986">
        <w:t xml:space="preserve">the </w:t>
      </w:r>
      <w:r w:rsidR="001A22AA">
        <w:t xml:space="preserve">foundation of </w:t>
      </w:r>
      <w:r w:rsidR="004C023A">
        <w:t>policy learning in the various networks</w:t>
      </w:r>
      <w:r w:rsidR="001A22AA">
        <w:t>.</w:t>
      </w:r>
      <w:r w:rsidR="004C023A">
        <w:t xml:space="preserve">  </w:t>
      </w:r>
    </w:p>
    <w:p w14:paraId="734AEFA6" w14:textId="7E8182C4" w:rsidR="004E189D" w:rsidRDefault="004E189D" w:rsidP="00A718C4">
      <w:pPr>
        <w:spacing w:line="360" w:lineRule="auto"/>
      </w:pPr>
    </w:p>
    <w:p w14:paraId="1BBB4047" w14:textId="32525924" w:rsidR="00A53D2C" w:rsidRDefault="00A53D2C" w:rsidP="00A718C4">
      <w:pPr>
        <w:pStyle w:val="Heading1"/>
      </w:pPr>
      <w:r w:rsidRPr="00A53D2C">
        <w:t>References</w:t>
      </w:r>
    </w:p>
    <w:p w14:paraId="1C32938C" w14:textId="77777777" w:rsidR="00D05AFD" w:rsidRPr="00D05AFD" w:rsidRDefault="00D05AFD" w:rsidP="00A718C4">
      <w:pPr>
        <w:spacing w:line="360" w:lineRule="auto"/>
      </w:pPr>
    </w:p>
    <w:p w14:paraId="70608641" w14:textId="05650946" w:rsidR="001323B6" w:rsidRPr="00D05AFD" w:rsidRDefault="00512443" w:rsidP="00A718C4">
      <w:pPr>
        <w:pStyle w:val="Bibliography1"/>
        <w:spacing w:line="360" w:lineRule="auto"/>
        <w:rPr>
          <w:lang w:val="en-US"/>
        </w:rPr>
      </w:pPr>
      <w:r>
        <w:fldChar w:fldCharType="begin"/>
      </w:r>
      <w:r w:rsidR="00D44DFB">
        <w:instrText xml:space="preserve"> ADDIN ZOTERO_BIBL {"uncited":[],"omitted":[],"custom":[]} CSL_BIBLIOGRAPHY </w:instrText>
      </w:r>
      <w:r>
        <w:fldChar w:fldCharType="separate"/>
      </w:r>
      <w:r w:rsidR="001323B6" w:rsidRPr="00D05AFD">
        <w:rPr>
          <w:lang w:val="en-US"/>
        </w:rPr>
        <w:t>Bryman, A. (2012). Social Research Methods. Oxford University Press.</w:t>
      </w:r>
    </w:p>
    <w:p w14:paraId="0E646477" w14:textId="42E7A8F4" w:rsidR="001323B6" w:rsidRDefault="00314D60" w:rsidP="00A718C4">
      <w:pPr>
        <w:pStyle w:val="Bibliography1"/>
        <w:spacing w:line="360" w:lineRule="auto"/>
      </w:pPr>
      <w:r w:rsidRPr="00D05AFD">
        <w:rPr>
          <w:lang w:val="en-US"/>
        </w:rPr>
        <w:t xml:space="preserve">Dolowitz, D. &amp; March, D. (1996). </w:t>
      </w:r>
      <w:r w:rsidR="00463CA9" w:rsidRPr="00D05AFD">
        <w:rPr>
          <w:lang w:val="en-US"/>
        </w:rPr>
        <w:t>Who L</w:t>
      </w:r>
      <w:r w:rsidR="00463CA9">
        <w:rPr>
          <w:lang w:val="en-US"/>
        </w:rPr>
        <w:t xml:space="preserve">earns What from Whom: a Review of the Policy Transfer Literature. </w:t>
      </w:r>
      <w:r w:rsidR="00463CA9" w:rsidRPr="00D05AFD">
        <w:rPr>
          <w:i/>
          <w:lang w:val="en-US"/>
        </w:rPr>
        <w:t>Political Studies</w:t>
      </w:r>
      <w:r w:rsidR="00463CA9">
        <w:rPr>
          <w:lang w:val="en-US"/>
        </w:rPr>
        <w:t>, XLIV, 343-357.</w:t>
      </w:r>
    </w:p>
    <w:p w14:paraId="2279CF26" w14:textId="77777777" w:rsidR="00854CD8" w:rsidRPr="005A1BE4" w:rsidRDefault="00854CD8" w:rsidP="006F2CBA">
      <w:pPr>
        <w:spacing w:line="360" w:lineRule="auto"/>
        <w:ind w:left="709" w:hanging="709"/>
        <w:rPr>
          <w:i/>
          <w:iCs/>
          <w:lang w:val="en-US"/>
        </w:rPr>
      </w:pPr>
      <w:r>
        <w:rPr>
          <w:lang w:val="en-US"/>
        </w:rPr>
        <w:t xml:space="preserve">Drzewecki, K. (1980). The Conception of Administrative organs in the Nordic Council of Ministers. </w:t>
      </w:r>
      <w:r>
        <w:rPr>
          <w:i/>
          <w:iCs/>
          <w:lang w:val="en-US"/>
        </w:rPr>
        <w:t>Department of International Law, Faculty of Law and Administration, University of Gdansk.</w:t>
      </w:r>
    </w:p>
    <w:p w14:paraId="531FF27A" w14:textId="63E9F602" w:rsidR="00D44DFB" w:rsidRDefault="00D44DFB" w:rsidP="00A718C4">
      <w:pPr>
        <w:pStyle w:val="Bibliography1"/>
        <w:spacing w:line="360" w:lineRule="auto"/>
      </w:pPr>
      <w:r w:rsidRPr="006F2CBA">
        <w:rPr>
          <w:lang w:val="da-DK"/>
        </w:rPr>
        <w:t xml:space="preserve">Dunlop, C. A., &amp; Radaelli, C. M. (2013). </w:t>
      </w:r>
      <w:r w:rsidRPr="00D44DFB">
        <w:t xml:space="preserve">Systematising Policy Learning: From Monolith to Dimensions. </w:t>
      </w:r>
      <w:r w:rsidRPr="00D44DFB">
        <w:rPr>
          <w:i/>
          <w:iCs/>
        </w:rPr>
        <w:t>Political Studies</w:t>
      </w:r>
      <w:r w:rsidRPr="00D44DFB">
        <w:t xml:space="preserve">, </w:t>
      </w:r>
      <w:r w:rsidRPr="00D44DFB">
        <w:rPr>
          <w:i/>
          <w:iCs/>
        </w:rPr>
        <w:t>61</w:t>
      </w:r>
      <w:r w:rsidRPr="00D44DFB">
        <w:t>(3), 599–619. https://doi.org/10.1111/j.1467-9248.2012.00982.x</w:t>
      </w:r>
    </w:p>
    <w:p w14:paraId="35EFFB4E" w14:textId="66EA0A4B" w:rsidR="00314D60" w:rsidRPr="00D44DFB" w:rsidRDefault="00314D60" w:rsidP="00A718C4">
      <w:pPr>
        <w:pStyle w:val="Bibliography1"/>
        <w:spacing w:line="360" w:lineRule="auto"/>
      </w:pPr>
      <w:r>
        <w:t xml:space="preserve">Dunlop, C.A. &amp; Radaelli, C.M. (2022). Policy Learning in Comparative Policy Analysis. </w:t>
      </w:r>
      <w:r w:rsidRPr="00D05AFD">
        <w:rPr>
          <w:i/>
        </w:rPr>
        <w:t>Journal of Comparative Policy Analysis: Research and Practise</w:t>
      </w:r>
      <w:r>
        <w:t>, 24(1), 51-72.</w:t>
      </w:r>
    </w:p>
    <w:p w14:paraId="786EC129" w14:textId="26471474" w:rsidR="00184B71" w:rsidRPr="006F2CBA" w:rsidRDefault="009A45AE" w:rsidP="006F2CBA">
      <w:pPr>
        <w:spacing w:line="360" w:lineRule="auto"/>
        <w:ind w:left="709" w:hanging="709"/>
        <w:rPr>
          <w:lang w:val="en-US"/>
        </w:rPr>
      </w:pPr>
      <w:r>
        <w:rPr>
          <w:lang w:val="en-US"/>
        </w:rPr>
        <w:t xml:space="preserve">Eztold, T. (2020). The Nordic Council of Ministers: Aspirations for More Political Relevance. </w:t>
      </w:r>
      <w:r>
        <w:rPr>
          <w:i/>
          <w:iCs/>
          <w:lang w:val="en-US"/>
        </w:rPr>
        <w:t xml:space="preserve">Politics and Governance, </w:t>
      </w:r>
      <w:r>
        <w:rPr>
          <w:lang w:val="en-US"/>
        </w:rPr>
        <w:t xml:space="preserve">8(4), 11-20. </w:t>
      </w:r>
    </w:p>
    <w:p w14:paraId="3AE7B6C2" w14:textId="4D84BDB6" w:rsidR="00463CA9" w:rsidRPr="00D44DFB" w:rsidRDefault="00463CA9" w:rsidP="00A718C4">
      <w:pPr>
        <w:pStyle w:val="Bibliography1"/>
        <w:spacing w:line="360" w:lineRule="auto"/>
      </w:pPr>
      <w:r>
        <w:t xml:space="preserve">Goyal, N. &amp; Howlett, M. (2018). Lessons Learned and Not Learned: Bibliometric Analysis of Policy Learning. In C.A. Dunlop, C.M. Radaelli and P. Trein, </w:t>
      </w:r>
      <w:r w:rsidRPr="00D05AFD">
        <w:rPr>
          <w:i/>
        </w:rPr>
        <w:t>Learning in Public Policy. Analysis, Modes and Outcomes</w:t>
      </w:r>
      <w:r w:rsidR="00104D25">
        <w:t xml:space="preserve"> (pp. 27-49)</w:t>
      </w:r>
      <w:r>
        <w:t>. Palgrave Macmillan.</w:t>
      </w:r>
    </w:p>
    <w:p w14:paraId="32F70A50" w14:textId="36384E66" w:rsidR="00D44DFB" w:rsidRDefault="00D44DFB" w:rsidP="00A718C4">
      <w:pPr>
        <w:pStyle w:val="Bibliography1"/>
        <w:spacing w:line="360" w:lineRule="auto"/>
      </w:pPr>
      <w:r w:rsidRPr="00D44DFB">
        <w:t xml:space="preserve">Lange, B., &amp; Alexiadou, N. (2010). Policy learning and governance of education policy in the EU. </w:t>
      </w:r>
      <w:r w:rsidRPr="00D44DFB">
        <w:rPr>
          <w:i/>
          <w:iCs/>
        </w:rPr>
        <w:t>Journal of Education Policy</w:t>
      </w:r>
      <w:r w:rsidRPr="00D44DFB">
        <w:t xml:space="preserve">, </w:t>
      </w:r>
      <w:r w:rsidRPr="00D44DFB">
        <w:rPr>
          <w:i/>
          <w:iCs/>
        </w:rPr>
        <w:t>25</w:t>
      </w:r>
      <w:r w:rsidRPr="00D44DFB">
        <w:t>, 443–463. https://doi.org/10.1080/02680931003782819</w:t>
      </w:r>
    </w:p>
    <w:p w14:paraId="7D0D61B6" w14:textId="77777777" w:rsidR="00D44DFB" w:rsidRPr="00615C2B" w:rsidRDefault="00D44DFB" w:rsidP="00A718C4">
      <w:pPr>
        <w:pStyle w:val="Bibliography1"/>
        <w:spacing w:line="360" w:lineRule="auto"/>
        <w:rPr>
          <w:lang w:val="da-DK"/>
        </w:rPr>
      </w:pPr>
      <w:r w:rsidRPr="00D44DFB">
        <w:t xml:space="preserve">Nedergaard, P. (2009). Policy Learning Processes in International Committees: The case of the civil servant committees of the Nordic Council of Ministers. </w:t>
      </w:r>
      <w:r w:rsidRPr="00615C2B">
        <w:rPr>
          <w:i/>
          <w:iCs/>
          <w:lang w:val="da-DK"/>
        </w:rPr>
        <w:t>Public Management Review</w:t>
      </w:r>
      <w:r w:rsidRPr="00615C2B">
        <w:rPr>
          <w:lang w:val="da-DK"/>
        </w:rPr>
        <w:t xml:space="preserve">, </w:t>
      </w:r>
      <w:r w:rsidRPr="00615C2B">
        <w:rPr>
          <w:i/>
          <w:iCs/>
          <w:lang w:val="da-DK"/>
        </w:rPr>
        <w:t>11</w:t>
      </w:r>
      <w:r w:rsidRPr="00615C2B">
        <w:rPr>
          <w:lang w:val="da-DK"/>
        </w:rPr>
        <w:t>(1), 23–37. https://doi.org/10.1080/14719030802490011</w:t>
      </w:r>
    </w:p>
    <w:p w14:paraId="22DCAB7A" w14:textId="35EA6B1F" w:rsidR="00F80BDE" w:rsidRPr="006F2CBA" w:rsidRDefault="00F80BDE" w:rsidP="006F2CBA">
      <w:pPr>
        <w:spacing w:line="360" w:lineRule="auto"/>
        <w:ind w:left="709" w:hanging="709"/>
        <w:rPr>
          <w:lang w:val="en-US"/>
        </w:rPr>
      </w:pPr>
      <w:r w:rsidRPr="007A78A7">
        <w:rPr>
          <w:lang w:val="da-DK"/>
        </w:rPr>
        <w:t xml:space="preserve">Nordens </w:t>
      </w:r>
      <w:r w:rsidRPr="006F2CBA">
        <w:rPr>
          <w:lang w:val="da-DK"/>
        </w:rPr>
        <w:t>V</w:t>
      </w:r>
      <w:r w:rsidRPr="007A78A7">
        <w:rPr>
          <w:lang w:val="da-DK"/>
        </w:rPr>
        <w:t xml:space="preserve">elfærdscenter. (n.d.). </w:t>
      </w:r>
      <w:r w:rsidRPr="007A78A7">
        <w:rPr>
          <w:i/>
          <w:iCs/>
          <w:lang w:val="da-DK"/>
        </w:rPr>
        <w:t>N</w:t>
      </w:r>
      <w:r w:rsidRPr="006F2CBA">
        <w:rPr>
          <w:i/>
          <w:iCs/>
          <w:lang w:val="da-DK"/>
        </w:rPr>
        <w:t xml:space="preserve">ordisk demensnetværk. </w:t>
      </w:r>
      <w:r w:rsidRPr="007A78A7">
        <w:rPr>
          <w:lang w:val="en-US"/>
        </w:rPr>
        <w:t xml:space="preserve">Link: </w:t>
      </w:r>
      <w:hyperlink r:id="rId11" w:history="1">
        <w:r w:rsidRPr="00AD4B12">
          <w:rPr>
            <w:rStyle w:val="Hyperlink"/>
            <w:lang w:val="en-US"/>
          </w:rPr>
          <w:t>https://nordicwelfare.org/da/velfaerdspolitik/17185-2/</w:t>
        </w:r>
      </w:hyperlink>
      <w:r>
        <w:rPr>
          <w:lang w:val="en-US"/>
        </w:rPr>
        <w:t xml:space="preserve"> </w:t>
      </w:r>
    </w:p>
    <w:p w14:paraId="6070C73A" w14:textId="6BAB39FE" w:rsidR="00D44DFB" w:rsidRPr="004279E1" w:rsidRDefault="00D44DFB" w:rsidP="00A718C4">
      <w:pPr>
        <w:pStyle w:val="Bibliography1"/>
        <w:spacing w:line="360" w:lineRule="auto"/>
        <w:rPr>
          <w:lang w:val="da-DK"/>
        </w:rPr>
      </w:pPr>
      <w:r w:rsidRPr="00D44DFB">
        <w:t xml:space="preserve">Nordic Network for Adult Learning. </w:t>
      </w:r>
      <w:r w:rsidRPr="004279E1">
        <w:rPr>
          <w:lang w:val="da-DK"/>
        </w:rPr>
        <w:t xml:space="preserve">(n.d.). </w:t>
      </w:r>
      <w:r w:rsidRPr="004279E1">
        <w:rPr>
          <w:i/>
          <w:iCs/>
          <w:lang w:val="da-DK"/>
        </w:rPr>
        <w:t>Nordiska nätverk</w:t>
      </w:r>
      <w:r w:rsidRPr="004279E1">
        <w:rPr>
          <w:lang w:val="da-DK"/>
        </w:rPr>
        <w:t xml:space="preserve">.  </w:t>
      </w:r>
      <w:r w:rsidR="00336F9F" w:rsidRPr="004279E1">
        <w:rPr>
          <w:lang w:val="da-DK"/>
        </w:rPr>
        <w:t xml:space="preserve">Link: </w:t>
      </w:r>
      <w:r w:rsidRPr="004279E1">
        <w:rPr>
          <w:lang w:val="da-DK"/>
        </w:rPr>
        <w:t>https://nvl.org/natverk/alle-natverk</w:t>
      </w:r>
    </w:p>
    <w:p w14:paraId="6197E39F" w14:textId="45A050AA" w:rsidR="00D44DFB" w:rsidRPr="00D44DFB" w:rsidRDefault="00D44DFB" w:rsidP="00A718C4">
      <w:pPr>
        <w:pStyle w:val="Bibliography1"/>
        <w:spacing w:line="360" w:lineRule="auto"/>
      </w:pPr>
      <w:r w:rsidRPr="00D44DFB">
        <w:t xml:space="preserve">Nordic Network for Adult Learning. (2019). </w:t>
      </w:r>
      <w:r w:rsidRPr="00D44DFB">
        <w:rPr>
          <w:i/>
          <w:iCs/>
        </w:rPr>
        <w:t>NVL brochure</w:t>
      </w:r>
      <w:r w:rsidRPr="00D44DFB">
        <w:t xml:space="preserve">. Nordic Network for Adult Learning. </w:t>
      </w:r>
      <w:r w:rsidR="00336F9F">
        <w:t xml:space="preserve">Link: </w:t>
      </w:r>
      <w:r w:rsidRPr="00D44DFB">
        <w:t>https://drive.google.com/file/d/13zv75pFxLw-WFhsGaW8fkhNQ0iaeWwHD/view</w:t>
      </w:r>
    </w:p>
    <w:p w14:paraId="1B0425A7" w14:textId="62E7A301" w:rsidR="00D44DFB" w:rsidRPr="00D44DFB" w:rsidRDefault="00D44DFB" w:rsidP="00A718C4">
      <w:pPr>
        <w:pStyle w:val="Bibliography1"/>
        <w:spacing w:line="360" w:lineRule="auto"/>
        <w:rPr>
          <w:lang w:val="da-DK"/>
        </w:rPr>
      </w:pPr>
      <w:r w:rsidRPr="00D44DFB">
        <w:t xml:space="preserve">Nordic Network for Adult Learning. </w:t>
      </w:r>
      <w:r w:rsidRPr="00D44DFB">
        <w:rPr>
          <w:lang w:val="da-DK"/>
        </w:rPr>
        <w:t xml:space="preserve">(2020). </w:t>
      </w:r>
      <w:r w:rsidRPr="00D44DFB">
        <w:rPr>
          <w:i/>
          <w:iCs/>
          <w:lang w:val="da-DK"/>
        </w:rPr>
        <w:t>NVL:s årsberättelse 2020</w:t>
      </w:r>
      <w:r w:rsidRPr="00D44DFB">
        <w:rPr>
          <w:lang w:val="da-DK"/>
        </w:rPr>
        <w:t xml:space="preserve">. </w:t>
      </w:r>
      <w:r w:rsidR="00336F9F">
        <w:rPr>
          <w:lang w:val="da-DK"/>
        </w:rPr>
        <w:t xml:space="preserve">Link: </w:t>
      </w:r>
      <w:r w:rsidRPr="00D44DFB">
        <w:rPr>
          <w:lang w:val="da-DK"/>
        </w:rPr>
        <w:t>https://nvl.org/Portals/0/_dokumenter/2021/rapporter/NVL-Arsberattelse-2020.pdf</w:t>
      </w:r>
    </w:p>
    <w:p w14:paraId="092537CF" w14:textId="6676A5AC" w:rsidR="00D44DFB" w:rsidRPr="00D44DFB" w:rsidRDefault="00D44DFB" w:rsidP="00A718C4">
      <w:pPr>
        <w:pStyle w:val="Bibliography1"/>
        <w:spacing w:line="360" w:lineRule="auto"/>
      </w:pPr>
      <w:r w:rsidRPr="00D44DFB">
        <w:t xml:space="preserve">Nordic Network for Adult Learning. (2021a). </w:t>
      </w:r>
      <w:r w:rsidRPr="00D44DFB">
        <w:rPr>
          <w:i/>
          <w:iCs/>
        </w:rPr>
        <w:t>Nordic Network for Adult Learning (NVL)</w:t>
      </w:r>
      <w:r w:rsidRPr="00D44DFB">
        <w:t xml:space="preserve">. </w:t>
      </w:r>
      <w:r w:rsidR="00336F9F">
        <w:t xml:space="preserve">Link: </w:t>
      </w:r>
      <w:r w:rsidRPr="00D44DFB">
        <w:t>https://nvl.org/Om-NVL/In-English</w:t>
      </w:r>
    </w:p>
    <w:p w14:paraId="73DAC641" w14:textId="6B602334" w:rsidR="00D44DFB" w:rsidRDefault="00D44DFB" w:rsidP="00A718C4">
      <w:pPr>
        <w:pStyle w:val="Bibliography1"/>
        <w:spacing w:line="360" w:lineRule="auto"/>
        <w:rPr>
          <w:lang w:val="da-DK"/>
        </w:rPr>
      </w:pPr>
      <w:r w:rsidRPr="00D44DFB">
        <w:t xml:space="preserve">Nordic Network for Adult Learning. </w:t>
      </w:r>
      <w:r w:rsidRPr="00D44DFB">
        <w:rPr>
          <w:lang w:val="da-DK"/>
        </w:rPr>
        <w:t xml:space="preserve">(2021b). </w:t>
      </w:r>
      <w:r w:rsidRPr="00D44DFB">
        <w:rPr>
          <w:i/>
          <w:iCs/>
          <w:lang w:val="da-DK"/>
        </w:rPr>
        <w:t>Om NVL</w:t>
      </w:r>
      <w:r w:rsidRPr="00D44DFB">
        <w:rPr>
          <w:lang w:val="da-DK"/>
        </w:rPr>
        <w:t xml:space="preserve">. </w:t>
      </w:r>
      <w:r w:rsidR="00336F9F">
        <w:rPr>
          <w:lang w:val="da-DK"/>
        </w:rPr>
        <w:t xml:space="preserve">Link: </w:t>
      </w:r>
      <w:r w:rsidRPr="00D44DFB">
        <w:rPr>
          <w:lang w:val="da-DK"/>
        </w:rPr>
        <w:t>https://nvl.org/om-nvl</w:t>
      </w:r>
    </w:p>
    <w:p w14:paraId="3AFE8C32" w14:textId="5C920102" w:rsidR="00CE723F" w:rsidRPr="00CE723F" w:rsidRDefault="00CE723F" w:rsidP="006F2CBA">
      <w:pPr>
        <w:spacing w:line="360" w:lineRule="auto"/>
        <w:ind w:left="709" w:hanging="709"/>
        <w:rPr>
          <w:lang w:val="en-US"/>
        </w:rPr>
      </w:pPr>
      <w:r w:rsidRPr="00AE60AC">
        <w:rPr>
          <w:lang w:val="da-DK"/>
        </w:rPr>
        <w:t xml:space="preserve">Nordisk Samarbejde. (2018). </w:t>
      </w:r>
      <w:r w:rsidRPr="00AE60AC">
        <w:rPr>
          <w:i/>
          <w:iCs/>
          <w:lang w:val="da-DK"/>
        </w:rPr>
        <w:t>Helsingforsaftalen: Samarbejdsoverenskomst m</w:t>
      </w:r>
      <w:r w:rsidRPr="006F2CBA">
        <w:rPr>
          <w:i/>
          <w:iCs/>
          <w:lang w:val="da-DK"/>
        </w:rPr>
        <w:t xml:space="preserve">ellem Danmark, Finland, Island, Norge og Sverige. </w:t>
      </w:r>
      <w:r w:rsidRPr="00CE723F">
        <w:rPr>
          <w:lang w:val="en-US"/>
        </w:rPr>
        <w:t xml:space="preserve">Link: </w:t>
      </w:r>
      <w:r w:rsidRPr="006F2CBA">
        <w:t>https://norden.diva-portal.org/smash/get/diva2:1250811/FULLTEXT01.pdf</w:t>
      </w:r>
      <w:r w:rsidRPr="00CE723F">
        <w:rPr>
          <w:lang w:val="en-US"/>
        </w:rPr>
        <w:t xml:space="preserve"> </w:t>
      </w:r>
    </w:p>
    <w:p w14:paraId="52553FB1" w14:textId="77777777" w:rsidR="00CE723F" w:rsidRPr="005044FF" w:rsidRDefault="00CE723F" w:rsidP="006F2CBA">
      <w:pPr>
        <w:spacing w:line="360" w:lineRule="auto"/>
        <w:ind w:left="709" w:hanging="709"/>
        <w:rPr>
          <w:lang w:val="da-DK"/>
        </w:rPr>
      </w:pPr>
      <w:r w:rsidRPr="00AE5E55">
        <w:rPr>
          <w:lang w:val="da-DK"/>
        </w:rPr>
        <w:t xml:space="preserve">Nordisk </w:t>
      </w:r>
      <w:r w:rsidRPr="006F2CBA">
        <w:rPr>
          <w:lang w:val="da-DK"/>
        </w:rPr>
        <w:t xml:space="preserve">Samarbejde. (n.d.a). </w:t>
      </w:r>
      <w:r w:rsidRPr="006F2CBA">
        <w:rPr>
          <w:i/>
          <w:iCs/>
          <w:lang w:val="da-DK"/>
        </w:rPr>
        <w:t xml:space="preserve">Ministerråd. </w:t>
      </w:r>
      <w:r w:rsidRPr="005044FF">
        <w:rPr>
          <w:lang w:val="da-DK"/>
        </w:rPr>
        <w:t xml:space="preserve">Link: </w:t>
      </w:r>
      <w:hyperlink r:id="rId12" w:history="1">
        <w:r w:rsidRPr="005044FF">
          <w:rPr>
            <w:rStyle w:val="Hyperlink"/>
            <w:lang w:val="da-DK"/>
          </w:rPr>
          <w:t>https://www.norden.org/da/information/ministerraad</w:t>
        </w:r>
      </w:hyperlink>
      <w:r w:rsidRPr="005044FF">
        <w:rPr>
          <w:lang w:val="da-DK"/>
        </w:rPr>
        <w:t xml:space="preserve"> </w:t>
      </w:r>
    </w:p>
    <w:p w14:paraId="2B7947DD" w14:textId="77777777" w:rsidR="00CE723F" w:rsidRPr="006F2CBA" w:rsidRDefault="00CE723F" w:rsidP="006F2CBA">
      <w:pPr>
        <w:spacing w:line="360" w:lineRule="auto"/>
        <w:ind w:left="709" w:hanging="709"/>
        <w:rPr>
          <w:lang w:val="da-DK"/>
        </w:rPr>
      </w:pPr>
      <w:r w:rsidRPr="002858FD">
        <w:rPr>
          <w:lang w:val="da-DK"/>
        </w:rPr>
        <w:t>Nordisk Samarbejde. (n.d.</w:t>
      </w:r>
      <w:r w:rsidRPr="006F2CBA">
        <w:rPr>
          <w:lang w:val="da-DK"/>
        </w:rPr>
        <w:t>b</w:t>
      </w:r>
      <w:r w:rsidRPr="002858FD">
        <w:rPr>
          <w:lang w:val="da-DK"/>
        </w:rPr>
        <w:t xml:space="preserve">). </w:t>
      </w:r>
      <w:r w:rsidRPr="002858FD">
        <w:rPr>
          <w:i/>
          <w:iCs/>
          <w:lang w:val="da-DK"/>
        </w:rPr>
        <w:t>N</w:t>
      </w:r>
      <w:r w:rsidRPr="006F2CBA">
        <w:rPr>
          <w:i/>
          <w:iCs/>
          <w:lang w:val="da-DK"/>
        </w:rPr>
        <w:t xml:space="preserve">ordisk Ministerråd for Bæredygtig Vækst (MR-VÆKST). </w:t>
      </w:r>
      <w:r w:rsidRPr="006F2CBA">
        <w:rPr>
          <w:lang w:val="da-DK"/>
        </w:rPr>
        <w:t xml:space="preserve">Link: </w:t>
      </w:r>
      <w:hyperlink r:id="rId13" w:history="1">
        <w:r w:rsidRPr="006F2CBA">
          <w:rPr>
            <w:rStyle w:val="Hyperlink"/>
            <w:lang w:val="da-DK"/>
          </w:rPr>
          <w:t>https://www.norden.org/da/organisation/nordisk-ministerraad-baeredygtig-vaekst-mr-vaekst</w:t>
        </w:r>
      </w:hyperlink>
      <w:r w:rsidRPr="006F2CBA">
        <w:rPr>
          <w:lang w:val="da-DK"/>
        </w:rPr>
        <w:t xml:space="preserve"> </w:t>
      </w:r>
    </w:p>
    <w:p w14:paraId="66C6A59A" w14:textId="77777777" w:rsidR="00CE723F" w:rsidRPr="006F2CBA" w:rsidRDefault="00CE723F" w:rsidP="006F2CBA">
      <w:pPr>
        <w:spacing w:line="360" w:lineRule="auto"/>
        <w:ind w:left="709" w:hanging="709"/>
        <w:rPr>
          <w:lang w:val="da-DK"/>
        </w:rPr>
      </w:pPr>
      <w:r w:rsidRPr="00B020C1">
        <w:rPr>
          <w:lang w:val="da-DK"/>
        </w:rPr>
        <w:t xml:space="preserve">Nordisk </w:t>
      </w:r>
      <w:r w:rsidRPr="006F2CBA">
        <w:rPr>
          <w:lang w:val="da-DK"/>
        </w:rPr>
        <w:t>S</w:t>
      </w:r>
      <w:r w:rsidRPr="00B020C1">
        <w:rPr>
          <w:lang w:val="da-DK"/>
        </w:rPr>
        <w:t>amarbejde. (n</w:t>
      </w:r>
      <w:r w:rsidRPr="006F2CBA">
        <w:rPr>
          <w:lang w:val="da-DK"/>
        </w:rPr>
        <w:t xml:space="preserve">.d.c). </w:t>
      </w:r>
      <w:r w:rsidRPr="006F2CBA">
        <w:rPr>
          <w:i/>
          <w:iCs/>
          <w:lang w:val="da-DK"/>
        </w:rPr>
        <w:t xml:space="preserve">Nordisk Ministerråd for Fiskeri, Havbrug, Jordbrug, Levnedsmidler og Skovbrug (MR_FJLS). </w:t>
      </w:r>
      <w:r w:rsidRPr="006F2CBA">
        <w:rPr>
          <w:lang w:val="da-DK"/>
        </w:rPr>
        <w:t xml:space="preserve">Link: </w:t>
      </w:r>
      <w:hyperlink r:id="rId14" w:history="1">
        <w:r w:rsidRPr="006F2CBA">
          <w:rPr>
            <w:rStyle w:val="Hyperlink"/>
            <w:lang w:val="da-DK"/>
          </w:rPr>
          <w:t>https://www.norden.org/da/organisation/nordisk-ministerrad-fiskeri-havbrug-jordbrug-levnedsmidler-og-skovbrug-mr-fjls</w:t>
        </w:r>
      </w:hyperlink>
      <w:r w:rsidRPr="006F2CBA">
        <w:rPr>
          <w:lang w:val="da-DK"/>
        </w:rPr>
        <w:t xml:space="preserve"> </w:t>
      </w:r>
    </w:p>
    <w:p w14:paraId="6DCBE740" w14:textId="77777777" w:rsidR="00CE723F" w:rsidRPr="006F2CBA" w:rsidRDefault="00CE723F" w:rsidP="006F2CBA">
      <w:pPr>
        <w:spacing w:line="360" w:lineRule="auto"/>
        <w:ind w:left="709" w:hanging="709"/>
        <w:rPr>
          <w:lang w:val="da-DK"/>
        </w:rPr>
      </w:pPr>
      <w:r w:rsidRPr="00F848AD">
        <w:rPr>
          <w:lang w:val="da-DK"/>
        </w:rPr>
        <w:t>Nordisk Samarbejde. (n.d</w:t>
      </w:r>
      <w:r w:rsidRPr="006F2CBA">
        <w:rPr>
          <w:lang w:val="da-DK"/>
        </w:rPr>
        <w:t xml:space="preserve">.d). </w:t>
      </w:r>
      <w:r w:rsidRPr="006F2CBA">
        <w:rPr>
          <w:i/>
          <w:iCs/>
          <w:lang w:val="da-DK"/>
        </w:rPr>
        <w:t xml:space="preserve">Nordisk Ministerråd for Kultur (MR-K). </w:t>
      </w:r>
      <w:r w:rsidRPr="006F2CBA">
        <w:rPr>
          <w:lang w:val="da-DK"/>
        </w:rPr>
        <w:t xml:space="preserve">Link: </w:t>
      </w:r>
      <w:hyperlink r:id="rId15" w:history="1">
        <w:r w:rsidRPr="006F2CBA">
          <w:rPr>
            <w:rStyle w:val="Hyperlink"/>
            <w:lang w:val="da-DK"/>
          </w:rPr>
          <w:t>https://www.norden.org/da/organisation/nordisk-ministerrad-kultur-mr-k</w:t>
        </w:r>
      </w:hyperlink>
      <w:r w:rsidRPr="006F2CBA">
        <w:rPr>
          <w:lang w:val="da-DK"/>
        </w:rPr>
        <w:t xml:space="preserve"> </w:t>
      </w:r>
    </w:p>
    <w:p w14:paraId="42736814" w14:textId="77777777" w:rsidR="00CE723F" w:rsidRPr="006F2CBA" w:rsidRDefault="00CE723F" w:rsidP="006F2CBA">
      <w:pPr>
        <w:spacing w:line="360" w:lineRule="auto"/>
        <w:ind w:left="709" w:hanging="709"/>
        <w:rPr>
          <w:lang w:val="da-DK"/>
        </w:rPr>
      </w:pPr>
      <w:r w:rsidRPr="005559EC">
        <w:rPr>
          <w:lang w:val="da-DK"/>
        </w:rPr>
        <w:t>Nordisk Samarbejde. (n.d.</w:t>
      </w:r>
      <w:r w:rsidRPr="006F2CBA">
        <w:rPr>
          <w:lang w:val="da-DK"/>
        </w:rPr>
        <w:t>e</w:t>
      </w:r>
      <w:r w:rsidRPr="005559EC">
        <w:rPr>
          <w:lang w:val="da-DK"/>
        </w:rPr>
        <w:t xml:space="preserve">). </w:t>
      </w:r>
      <w:r w:rsidRPr="005559EC">
        <w:rPr>
          <w:i/>
          <w:iCs/>
          <w:lang w:val="da-DK"/>
        </w:rPr>
        <w:t>N</w:t>
      </w:r>
      <w:r w:rsidRPr="006F2CBA">
        <w:rPr>
          <w:i/>
          <w:iCs/>
          <w:lang w:val="da-DK"/>
        </w:rPr>
        <w:t xml:space="preserve">ordisk Ministerråd for Uddannelse og Forskning (MR-U). </w:t>
      </w:r>
      <w:r w:rsidRPr="006F2CBA">
        <w:rPr>
          <w:lang w:val="da-DK"/>
        </w:rPr>
        <w:t xml:space="preserve">Link: </w:t>
      </w:r>
      <w:hyperlink r:id="rId16" w:history="1">
        <w:r w:rsidRPr="006F2CBA">
          <w:rPr>
            <w:rStyle w:val="Hyperlink"/>
            <w:lang w:val="da-DK"/>
          </w:rPr>
          <w:t>https://www.norden.org/da/organisation/nordisk-ministerraad-uddannelse-og-forskning-mr-u</w:t>
        </w:r>
      </w:hyperlink>
      <w:r w:rsidRPr="006F2CBA">
        <w:rPr>
          <w:lang w:val="da-DK"/>
        </w:rPr>
        <w:t xml:space="preserve"> </w:t>
      </w:r>
    </w:p>
    <w:p w14:paraId="606C9B69" w14:textId="77777777" w:rsidR="00CE723F" w:rsidRPr="006F2CBA" w:rsidRDefault="00CE723F" w:rsidP="006F2CBA">
      <w:pPr>
        <w:spacing w:line="360" w:lineRule="auto"/>
        <w:ind w:left="709" w:hanging="709"/>
        <w:rPr>
          <w:lang w:val="da-DK"/>
        </w:rPr>
      </w:pPr>
      <w:r w:rsidRPr="003A6EAF">
        <w:rPr>
          <w:lang w:val="da-DK"/>
        </w:rPr>
        <w:t xml:space="preserve">Nordisk Samarbejde. </w:t>
      </w:r>
      <w:r w:rsidRPr="006F2CBA">
        <w:rPr>
          <w:lang w:val="da-DK"/>
        </w:rPr>
        <w:t xml:space="preserve">(n.d.f). </w:t>
      </w:r>
      <w:r w:rsidRPr="006F2CBA">
        <w:rPr>
          <w:i/>
          <w:iCs/>
          <w:lang w:val="da-DK"/>
        </w:rPr>
        <w:t xml:space="preserve">Nordisk Ministerråds historie. </w:t>
      </w:r>
      <w:r w:rsidRPr="006F2CBA">
        <w:rPr>
          <w:lang w:val="da-DK"/>
        </w:rPr>
        <w:t xml:space="preserve">Link: </w:t>
      </w:r>
      <w:hyperlink r:id="rId17" w:history="1">
        <w:r w:rsidRPr="006F2CBA">
          <w:rPr>
            <w:rStyle w:val="Hyperlink"/>
            <w:lang w:val="da-DK"/>
          </w:rPr>
          <w:t>https://www.norden.org/da/information/nordisk-ministerraads-historie</w:t>
        </w:r>
      </w:hyperlink>
      <w:r w:rsidRPr="006F2CBA">
        <w:rPr>
          <w:lang w:val="da-DK"/>
        </w:rPr>
        <w:t xml:space="preserve"> </w:t>
      </w:r>
    </w:p>
    <w:p w14:paraId="4192E44F" w14:textId="77777777" w:rsidR="00CE723F" w:rsidRPr="006F2CBA" w:rsidRDefault="00CE723F" w:rsidP="006F2CBA">
      <w:pPr>
        <w:spacing w:line="360" w:lineRule="auto"/>
        <w:ind w:left="709" w:hanging="709"/>
        <w:rPr>
          <w:lang w:val="da-DK"/>
        </w:rPr>
      </w:pPr>
      <w:r w:rsidRPr="003D39E2">
        <w:rPr>
          <w:lang w:val="da-DK"/>
        </w:rPr>
        <w:t>Nordisk Samarbejde. (n.d.</w:t>
      </w:r>
      <w:r w:rsidRPr="006F2CBA">
        <w:rPr>
          <w:lang w:val="da-DK"/>
        </w:rPr>
        <w:t>g</w:t>
      </w:r>
      <w:r w:rsidRPr="003D39E2">
        <w:rPr>
          <w:lang w:val="da-DK"/>
        </w:rPr>
        <w:t xml:space="preserve">). </w:t>
      </w:r>
      <w:r w:rsidRPr="006F2CBA">
        <w:rPr>
          <w:i/>
          <w:iCs/>
          <w:lang w:val="da-DK"/>
        </w:rPr>
        <w:t xml:space="preserve">Om Nordisk Samarbejdskomité (NSK). </w:t>
      </w:r>
      <w:r w:rsidRPr="006743BD">
        <w:rPr>
          <w:lang w:val="da-DK"/>
        </w:rPr>
        <w:t xml:space="preserve">Link: </w:t>
      </w:r>
      <w:hyperlink r:id="rId18" w:history="1">
        <w:r w:rsidRPr="006743BD">
          <w:rPr>
            <w:rStyle w:val="Hyperlink"/>
            <w:lang w:val="da-DK"/>
          </w:rPr>
          <w:t>https://www.norden.org/da/information/om-nordisk-samarbejdskomite-nsk</w:t>
        </w:r>
      </w:hyperlink>
    </w:p>
    <w:p w14:paraId="06C6BE51" w14:textId="0A609D88" w:rsidR="00CE723F" w:rsidRDefault="00CE723F" w:rsidP="006F2CBA">
      <w:pPr>
        <w:spacing w:line="360" w:lineRule="auto"/>
        <w:ind w:left="709" w:hanging="709"/>
        <w:rPr>
          <w:lang w:val="da-DK"/>
        </w:rPr>
      </w:pPr>
      <w:r w:rsidRPr="00011A7F">
        <w:rPr>
          <w:lang w:val="da-DK"/>
        </w:rPr>
        <w:t>Nordisk Samarbejde. (n.d.</w:t>
      </w:r>
      <w:r w:rsidRPr="006F2CBA">
        <w:rPr>
          <w:lang w:val="da-DK"/>
        </w:rPr>
        <w:t>h</w:t>
      </w:r>
      <w:r w:rsidRPr="00011A7F">
        <w:rPr>
          <w:lang w:val="da-DK"/>
        </w:rPr>
        <w:t xml:space="preserve">). </w:t>
      </w:r>
      <w:r w:rsidRPr="00011A7F">
        <w:rPr>
          <w:i/>
          <w:iCs/>
          <w:lang w:val="da-DK"/>
        </w:rPr>
        <w:t>O</w:t>
      </w:r>
      <w:r w:rsidRPr="006F2CBA">
        <w:rPr>
          <w:i/>
          <w:iCs/>
          <w:lang w:val="da-DK"/>
        </w:rPr>
        <w:t>m samarbejdsministrene (MR-SAM).</w:t>
      </w:r>
      <w:r w:rsidRPr="006F2CBA">
        <w:rPr>
          <w:lang w:val="da-DK"/>
        </w:rPr>
        <w:t xml:space="preserve"> </w:t>
      </w:r>
      <w:r w:rsidRPr="005044FF">
        <w:rPr>
          <w:lang w:val="da-DK"/>
        </w:rPr>
        <w:t xml:space="preserve">Link: </w:t>
      </w:r>
      <w:hyperlink r:id="rId19" w:history="1">
        <w:r w:rsidRPr="005044FF">
          <w:rPr>
            <w:rStyle w:val="Hyperlink"/>
            <w:lang w:val="da-DK"/>
          </w:rPr>
          <w:t>https://www.norden.org/da/information/om-samarbejdsministrene-mr-sam</w:t>
        </w:r>
      </w:hyperlink>
    </w:p>
    <w:p w14:paraId="219B38E0" w14:textId="480F1C8A" w:rsidR="002F5709" w:rsidRPr="002F5709" w:rsidRDefault="00517382" w:rsidP="00A718C4">
      <w:pPr>
        <w:pStyle w:val="Bibliography1"/>
        <w:spacing w:line="360" w:lineRule="auto"/>
      </w:pPr>
      <w:r>
        <w:rPr>
          <w:lang w:val="da-DK"/>
        </w:rPr>
        <w:t xml:space="preserve">Prøitz, T.S. &amp; Aasen, P. (2017). </w:t>
      </w:r>
      <w:r w:rsidRPr="00D05AFD">
        <w:rPr>
          <w:lang w:val="en-US"/>
        </w:rPr>
        <w:t xml:space="preserve">Making and re-making of the </w:t>
      </w:r>
      <w:r>
        <w:rPr>
          <w:lang w:val="en-US"/>
        </w:rPr>
        <w:t xml:space="preserve">Nordic model of education. </w:t>
      </w:r>
      <w:r w:rsidR="002F5709" w:rsidRPr="002F5709">
        <w:t xml:space="preserve">In P. Nedergaard &amp; A. Wivel, </w:t>
      </w:r>
      <w:r w:rsidR="002F5709" w:rsidRPr="002F5709">
        <w:rPr>
          <w:i/>
          <w:iCs/>
        </w:rPr>
        <w:t>The Routledge Handbook of Scandinavian Politics</w:t>
      </w:r>
      <w:r w:rsidR="002F5709" w:rsidRPr="002F5709">
        <w:t xml:space="preserve"> (pp. </w:t>
      </w:r>
      <w:r w:rsidR="002F5709">
        <w:t>213-228</w:t>
      </w:r>
      <w:r w:rsidR="002F5709" w:rsidRPr="002F5709">
        <w:t>). Routledge.</w:t>
      </w:r>
    </w:p>
    <w:p w14:paraId="067BEDBE" w14:textId="77777777" w:rsidR="00D44DFB" w:rsidRDefault="00D44DFB" w:rsidP="00A718C4">
      <w:pPr>
        <w:pStyle w:val="Bibliography1"/>
        <w:spacing w:line="360" w:lineRule="auto"/>
      </w:pPr>
      <w:r w:rsidRPr="00D44DFB">
        <w:t xml:space="preserve">Sabatier, P., &amp; Jenkins-Smith, H. C. (1999). The Advocacy Coalition Framework. In P. Sabatier (Ed.), </w:t>
      </w:r>
      <w:r w:rsidRPr="00D44DFB">
        <w:rPr>
          <w:i/>
          <w:iCs/>
        </w:rPr>
        <w:t>Theories of the Political Process</w:t>
      </w:r>
      <w:r w:rsidRPr="00D44DFB">
        <w:t>. Westview Press.</w:t>
      </w:r>
    </w:p>
    <w:p w14:paraId="239869CB" w14:textId="12873697" w:rsidR="00382A28" w:rsidRPr="006F2CBA" w:rsidRDefault="0090259D" w:rsidP="006F2CBA">
      <w:pPr>
        <w:spacing w:line="360" w:lineRule="auto"/>
        <w:ind w:left="709" w:hanging="709"/>
        <w:rPr>
          <w:lang w:val="en-US"/>
        </w:rPr>
      </w:pPr>
      <w:r>
        <w:rPr>
          <w:lang w:val="en-US"/>
        </w:rPr>
        <w:t xml:space="preserve">Strang, J. (2012). </w:t>
      </w:r>
      <w:r>
        <w:rPr>
          <w:i/>
          <w:iCs/>
          <w:lang w:val="en-US"/>
        </w:rPr>
        <w:t xml:space="preserve">Nordic Communities: A vision for the future. </w:t>
      </w:r>
      <w:r>
        <w:rPr>
          <w:lang w:val="en-US"/>
        </w:rPr>
        <w:t xml:space="preserve">Copenhagen: Nordic Council of Ministers. </w:t>
      </w:r>
    </w:p>
    <w:p w14:paraId="15EB4D1A" w14:textId="77777777" w:rsidR="00253EE2" w:rsidRDefault="00253EE2" w:rsidP="00253EE2">
      <w:pPr>
        <w:spacing w:line="360" w:lineRule="auto"/>
        <w:ind w:left="709" w:hanging="709"/>
        <w:rPr>
          <w:lang w:val="en-US"/>
        </w:rPr>
      </w:pPr>
      <w:r>
        <w:rPr>
          <w:lang w:val="en-US"/>
        </w:rPr>
        <w:t xml:space="preserve">Waldemarsson, Y. (2017). Gender Equality in the Nordic Way: The Nordic Council’s and Nordic Council of Ministers’ Cooperation with the Baltic States and Northwest Russia in the Political Field of Gender Equality 1999-2010. In E. Blomberg, Y. Gradskova, Y. Waldemarson and A. Zvinkleine, </w:t>
      </w:r>
      <w:r w:rsidRPr="005F3D6F">
        <w:rPr>
          <w:i/>
          <w:iCs/>
          <w:lang w:val="en-US"/>
        </w:rPr>
        <w:t>Gender Equality on a Grand Tour: Politics and Institutions – the Nordic Council, Sweden, Lithuania and Russia</w:t>
      </w:r>
      <w:r>
        <w:rPr>
          <w:i/>
          <w:iCs/>
          <w:lang w:val="en-US"/>
        </w:rPr>
        <w:t xml:space="preserve"> </w:t>
      </w:r>
      <w:r>
        <w:rPr>
          <w:lang w:val="en-US"/>
        </w:rPr>
        <w:t xml:space="preserve">(pp. 20-86). Brill. </w:t>
      </w:r>
    </w:p>
    <w:p w14:paraId="0A665F29" w14:textId="77777777" w:rsidR="00863ED6" w:rsidRDefault="00863ED6" w:rsidP="006F2CBA">
      <w:pPr>
        <w:spacing w:line="360" w:lineRule="auto"/>
        <w:ind w:left="709" w:hanging="709"/>
        <w:rPr>
          <w:lang w:val="en-US"/>
        </w:rPr>
      </w:pPr>
      <w:r>
        <w:rPr>
          <w:lang w:val="en-US"/>
        </w:rPr>
        <w:t xml:space="preserve">Wendt, F. (1973). </w:t>
      </w:r>
      <w:r>
        <w:rPr>
          <w:i/>
          <w:iCs/>
          <w:lang w:val="en-US"/>
        </w:rPr>
        <w:t xml:space="preserve">The Nordic Council and The Nordic Council of Ministers: Structure and Functions. </w:t>
      </w:r>
      <w:r>
        <w:rPr>
          <w:lang w:val="en-US"/>
        </w:rPr>
        <w:t xml:space="preserve">Copenhagen: Nordic Council. </w:t>
      </w:r>
    </w:p>
    <w:p w14:paraId="2C7A0C08" w14:textId="77777777" w:rsidR="00863ED6" w:rsidRDefault="00863ED6" w:rsidP="006F2CBA">
      <w:pPr>
        <w:spacing w:line="360" w:lineRule="auto"/>
        <w:ind w:left="709" w:hanging="709"/>
        <w:rPr>
          <w:lang w:val="en-US"/>
        </w:rPr>
      </w:pPr>
    </w:p>
    <w:p w14:paraId="5BBF1A64" w14:textId="77777777" w:rsidR="00253EE2" w:rsidRPr="00D44DFB" w:rsidRDefault="00253EE2" w:rsidP="00A718C4">
      <w:pPr>
        <w:pStyle w:val="Bibliography1"/>
        <w:spacing w:line="360" w:lineRule="auto"/>
      </w:pPr>
    </w:p>
    <w:p w14:paraId="03936CA4" w14:textId="21083F87" w:rsidR="00147E20" w:rsidRDefault="00512443" w:rsidP="00A718C4">
      <w:pPr>
        <w:spacing w:line="360" w:lineRule="auto"/>
        <w:ind w:firstLine="0"/>
      </w:pPr>
      <w:r>
        <w:fldChar w:fldCharType="end"/>
      </w:r>
    </w:p>
    <w:sectPr w:rsidR="00147E20">
      <w:footerReference w:type="default" r:id="rId20"/>
      <w:endnotePr>
        <w:numFmt w:val="decimal"/>
      </w:endnotePr>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2D3AED" w16cex:dateUtc="2023-11-03T16:12:00Z"/>
  <w16cex:commentExtensible w16cex:durableId="0A34C624" w16cex:dateUtc="2023-11-03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99BD8" w16cid:durableId="2F2D3AED"/>
  <w16cid:commentId w16cid:paraId="40A1281A" w16cid:durableId="0A34C6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90612" w14:textId="77777777" w:rsidR="003A4203" w:rsidRDefault="003A4203" w:rsidP="003F32C6">
      <w:r>
        <w:separator/>
      </w:r>
    </w:p>
  </w:endnote>
  <w:endnote w:type="continuationSeparator" w:id="0">
    <w:p w14:paraId="5EC7E59C" w14:textId="77777777" w:rsidR="003A4203" w:rsidRDefault="003A4203" w:rsidP="003F32C6">
      <w:r>
        <w:continuationSeparator/>
      </w:r>
    </w:p>
  </w:endnote>
  <w:endnote w:id="1">
    <w:p w14:paraId="195C576A" w14:textId="3133DAF0" w:rsidR="00BA540B" w:rsidRPr="00BA540B" w:rsidRDefault="00BA540B">
      <w:pPr>
        <w:pStyle w:val="EndnoteText"/>
      </w:pPr>
      <w:r>
        <w:rPr>
          <w:rStyle w:val="EndnoteReference"/>
        </w:rPr>
        <w:endnoteRef/>
      </w:r>
      <w:r>
        <w:t xml:space="preserve"> This book chapter draws on our article: </w:t>
      </w:r>
      <w:r w:rsidRPr="00BA540B">
        <w:t>Nedergaard, P</w:t>
      </w:r>
      <w:r w:rsidR="001F084E">
        <w:t>.</w:t>
      </w:r>
      <w:r w:rsidRPr="00BA540B">
        <w:t> &amp; Nobel, T</w:t>
      </w:r>
      <w:r w:rsidR="001F084E">
        <w:t>.</w:t>
      </w:r>
      <w:r w:rsidRPr="00BA540B">
        <w:t>C</w:t>
      </w:r>
      <w:r w:rsidR="001F084E">
        <w:t>.</w:t>
      </w:r>
      <w:r w:rsidRPr="00BA540B">
        <w:t xml:space="preserve"> 2022, 'The Nordic formula: an analysis of policy learning in sectorial networks of the Nordic Council of Ministers', </w:t>
      </w:r>
      <w:r w:rsidRPr="00BA540B">
        <w:rPr>
          <w:i/>
          <w:iCs/>
        </w:rPr>
        <w:t>Scandinavian Political Studies</w:t>
      </w:r>
      <w:r w:rsidRPr="00BA540B">
        <w:t>, vol. 45, no. 4, pp. 529-547.</w:t>
      </w:r>
    </w:p>
  </w:endnote>
  <w:endnote w:id="2">
    <w:p w14:paraId="548AB3A1" w14:textId="0E43C913" w:rsidR="005F4DBE" w:rsidRPr="00D05AFD" w:rsidRDefault="00BA540B">
      <w:pPr>
        <w:pStyle w:val="EndnoteText"/>
        <w:rPr>
          <w:lang w:val="en-US"/>
        </w:rPr>
      </w:pPr>
      <w:r>
        <w:rPr>
          <w:rStyle w:val="EndnoteReference"/>
        </w:rPr>
        <w:endnoteRef/>
      </w:r>
      <w:r w:rsidR="005F4DBE">
        <w:t xml:space="preserve"> </w:t>
      </w:r>
      <w:r>
        <w:t>T</w:t>
      </w:r>
      <w:r w:rsidR="00C96B24">
        <w:t>he authors would like to thank A</w:t>
      </w:r>
      <w:r>
        <w:t xml:space="preserve">ugust Nissen for excellent research assistance. </w:t>
      </w:r>
      <w:r w:rsidR="005F4DBE" w:rsidRPr="00D05AFD">
        <w:rPr>
          <w:lang w:val="en-US"/>
        </w:rPr>
        <w:t xml:space="preserve">The authors </w:t>
      </w:r>
      <w:r>
        <w:rPr>
          <w:lang w:val="en-US"/>
        </w:rPr>
        <w:t xml:space="preserve">also </w:t>
      </w:r>
      <w:r w:rsidR="005F4DBE" w:rsidRPr="00D05AFD">
        <w:rPr>
          <w:lang w:val="en-US"/>
        </w:rPr>
        <w:t xml:space="preserve">would like to sincerely thank the participants of a </w:t>
      </w:r>
      <w:r w:rsidR="005F4DBE" w:rsidRPr="005F4DBE">
        <w:rPr>
          <w:lang w:val="en-US"/>
        </w:rPr>
        <w:t>research</w:t>
      </w:r>
      <w:r w:rsidR="005F4DBE" w:rsidRPr="00D05AFD">
        <w:rPr>
          <w:lang w:val="en-US"/>
        </w:rPr>
        <w:t xml:space="preserve"> seminar </w:t>
      </w:r>
      <w:r w:rsidR="005F4DBE">
        <w:rPr>
          <w:lang w:val="en-US"/>
        </w:rPr>
        <w:t>organiz</w:t>
      </w:r>
      <w:r w:rsidR="005F4DBE" w:rsidRPr="005F4DBE">
        <w:rPr>
          <w:lang w:val="en-US"/>
        </w:rPr>
        <w:t>ed</w:t>
      </w:r>
      <w:r w:rsidR="005F4DBE" w:rsidRPr="00D05AFD">
        <w:rPr>
          <w:lang w:val="en-US"/>
        </w:rPr>
        <w:t xml:space="preserve"> by </w:t>
      </w:r>
      <w:r>
        <w:rPr>
          <w:lang w:val="en-US"/>
        </w:rPr>
        <w:t>Danish Political Association in November 2023</w:t>
      </w:r>
      <w:r w:rsidR="005F4DBE">
        <w:rPr>
          <w:lang w:val="en-US"/>
        </w:rPr>
        <w:t xml:space="preserve">. Not least the comments by NN, NN and NN has been most valuable.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780348"/>
      <w:docPartObj>
        <w:docPartGallery w:val="Page Numbers (Bottom of Page)"/>
        <w:docPartUnique/>
      </w:docPartObj>
    </w:sdtPr>
    <w:sdtEndPr>
      <w:rPr>
        <w:noProof/>
      </w:rPr>
    </w:sdtEndPr>
    <w:sdtContent>
      <w:p w14:paraId="674C1453" w14:textId="203D10AF" w:rsidR="003F758C" w:rsidRDefault="003F758C" w:rsidP="003F32C6">
        <w:pPr>
          <w:pStyle w:val="Footer"/>
        </w:pPr>
        <w:r>
          <w:fldChar w:fldCharType="begin"/>
        </w:r>
        <w:r>
          <w:instrText xml:space="preserve"> PAGE   \* MERGEFORMAT </w:instrText>
        </w:r>
        <w:r>
          <w:fldChar w:fldCharType="separate"/>
        </w:r>
        <w:r w:rsidR="00615C2B">
          <w:rPr>
            <w:noProof/>
          </w:rPr>
          <w:t>1</w:t>
        </w:r>
        <w:r>
          <w:rPr>
            <w:noProof/>
          </w:rPr>
          <w:fldChar w:fldCharType="end"/>
        </w:r>
      </w:p>
    </w:sdtContent>
  </w:sdt>
  <w:p w14:paraId="240C25A1" w14:textId="77777777" w:rsidR="003F758C" w:rsidRDefault="003F758C" w:rsidP="003F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1E3C" w14:textId="77777777" w:rsidR="003A4203" w:rsidRDefault="003A4203" w:rsidP="003F32C6">
      <w:r>
        <w:separator/>
      </w:r>
    </w:p>
  </w:footnote>
  <w:footnote w:type="continuationSeparator" w:id="0">
    <w:p w14:paraId="637B7C01" w14:textId="77777777" w:rsidR="003A4203" w:rsidRDefault="003A4203" w:rsidP="003F3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09D0"/>
    <w:multiLevelType w:val="multilevel"/>
    <w:tmpl w:val="64C4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433AA"/>
    <w:multiLevelType w:val="hybridMultilevel"/>
    <w:tmpl w:val="53880A06"/>
    <w:lvl w:ilvl="0" w:tplc="7F660BA0">
      <w:start w:val="1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B1F2308"/>
    <w:multiLevelType w:val="multilevel"/>
    <w:tmpl w:val="395C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A013B"/>
    <w:multiLevelType w:val="hybridMultilevel"/>
    <w:tmpl w:val="34C8476E"/>
    <w:lvl w:ilvl="0" w:tplc="8C26FF8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6F5BE8"/>
    <w:multiLevelType w:val="hybridMultilevel"/>
    <w:tmpl w:val="9AD8B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defaultTabStop w:val="1304"/>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84"/>
    <w:rsid w:val="0000453B"/>
    <w:rsid w:val="0000509D"/>
    <w:rsid w:val="000052C9"/>
    <w:rsid w:val="00012569"/>
    <w:rsid w:val="00013A4D"/>
    <w:rsid w:val="00013DE5"/>
    <w:rsid w:val="000148B4"/>
    <w:rsid w:val="000226CC"/>
    <w:rsid w:val="00022CB7"/>
    <w:rsid w:val="000231ED"/>
    <w:rsid w:val="0002431E"/>
    <w:rsid w:val="000249CF"/>
    <w:rsid w:val="0003088B"/>
    <w:rsid w:val="00031059"/>
    <w:rsid w:val="00031EC3"/>
    <w:rsid w:val="00032045"/>
    <w:rsid w:val="00033EBB"/>
    <w:rsid w:val="00034AC4"/>
    <w:rsid w:val="00042964"/>
    <w:rsid w:val="00042E42"/>
    <w:rsid w:val="00047D6F"/>
    <w:rsid w:val="000505A4"/>
    <w:rsid w:val="00050993"/>
    <w:rsid w:val="00051722"/>
    <w:rsid w:val="00051ED8"/>
    <w:rsid w:val="00052F93"/>
    <w:rsid w:val="00061F31"/>
    <w:rsid w:val="000625A5"/>
    <w:rsid w:val="000678F1"/>
    <w:rsid w:val="000679D5"/>
    <w:rsid w:val="00070684"/>
    <w:rsid w:val="0007250B"/>
    <w:rsid w:val="0007250F"/>
    <w:rsid w:val="00072862"/>
    <w:rsid w:val="0007458C"/>
    <w:rsid w:val="00075305"/>
    <w:rsid w:val="0007538E"/>
    <w:rsid w:val="0008084A"/>
    <w:rsid w:val="000808A0"/>
    <w:rsid w:val="000842DD"/>
    <w:rsid w:val="000844A7"/>
    <w:rsid w:val="000849C8"/>
    <w:rsid w:val="00084A34"/>
    <w:rsid w:val="00087E20"/>
    <w:rsid w:val="000910D7"/>
    <w:rsid w:val="00092FDC"/>
    <w:rsid w:val="00093F40"/>
    <w:rsid w:val="000963AE"/>
    <w:rsid w:val="00097EBF"/>
    <w:rsid w:val="000B1D46"/>
    <w:rsid w:val="000B2B6B"/>
    <w:rsid w:val="000B3D17"/>
    <w:rsid w:val="000B5F55"/>
    <w:rsid w:val="000C3C47"/>
    <w:rsid w:val="000C70B0"/>
    <w:rsid w:val="000D0E04"/>
    <w:rsid w:val="000D12F1"/>
    <w:rsid w:val="000D3748"/>
    <w:rsid w:val="000D57C2"/>
    <w:rsid w:val="000D57D9"/>
    <w:rsid w:val="000D6931"/>
    <w:rsid w:val="000D6EC9"/>
    <w:rsid w:val="000E15C6"/>
    <w:rsid w:val="000E27AC"/>
    <w:rsid w:val="000F21C7"/>
    <w:rsid w:val="000F3783"/>
    <w:rsid w:val="00101749"/>
    <w:rsid w:val="00101DFE"/>
    <w:rsid w:val="001024C1"/>
    <w:rsid w:val="00104D25"/>
    <w:rsid w:val="001055F4"/>
    <w:rsid w:val="00106FDF"/>
    <w:rsid w:val="00117B82"/>
    <w:rsid w:val="00117EAB"/>
    <w:rsid w:val="00121ECB"/>
    <w:rsid w:val="00122437"/>
    <w:rsid w:val="00123440"/>
    <w:rsid w:val="00124119"/>
    <w:rsid w:val="001323B6"/>
    <w:rsid w:val="00132C90"/>
    <w:rsid w:val="0013473D"/>
    <w:rsid w:val="0013533A"/>
    <w:rsid w:val="00136A48"/>
    <w:rsid w:val="0013769C"/>
    <w:rsid w:val="00143088"/>
    <w:rsid w:val="001432F0"/>
    <w:rsid w:val="00143366"/>
    <w:rsid w:val="00143425"/>
    <w:rsid w:val="00147B06"/>
    <w:rsid w:val="00147E20"/>
    <w:rsid w:val="001526C2"/>
    <w:rsid w:val="00152F49"/>
    <w:rsid w:val="00155455"/>
    <w:rsid w:val="001579BC"/>
    <w:rsid w:val="0016049C"/>
    <w:rsid w:val="00160668"/>
    <w:rsid w:val="00160D28"/>
    <w:rsid w:val="00161112"/>
    <w:rsid w:val="00161195"/>
    <w:rsid w:val="00170C35"/>
    <w:rsid w:val="00173EC7"/>
    <w:rsid w:val="0018175E"/>
    <w:rsid w:val="00183BF1"/>
    <w:rsid w:val="00184B71"/>
    <w:rsid w:val="0019107A"/>
    <w:rsid w:val="001935FE"/>
    <w:rsid w:val="00194049"/>
    <w:rsid w:val="001955A8"/>
    <w:rsid w:val="00195D90"/>
    <w:rsid w:val="001961BF"/>
    <w:rsid w:val="001A22AA"/>
    <w:rsid w:val="001A58A7"/>
    <w:rsid w:val="001A5D05"/>
    <w:rsid w:val="001A6C41"/>
    <w:rsid w:val="001B06A6"/>
    <w:rsid w:val="001B3056"/>
    <w:rsid w:val="001B3D9E"/>
    <w:rsid w:val="001C007F"/>
    <w:rsid w:val="001C0D23"/>
    <w:rsid w:val="001C1181"/>
    <w:rsid w:val="001C590D"/>
    <w:rsid w:val="001C656C"/>
    <w:rsid w:val="001D17F1"/>
    <w:rsid w:val="001D3626"/>
    <w:rsid w:val="001D490B"/>
    <w:rsid w:val="001D5040"/>
    <w:rsid w:val="001D64FB"/>
    <w:rsid w:val="001D6503"/>
    <w:rsid w:val="001D7DBA"/>
    <w:rsid w:val="001E1FE9"/>
    <w:rsid w:val="001E682A"/>
    <w:rsid w:val="001E6E32"/>
    <w:rsid w:val="001F084E"/>
    <w:rsid w:val="001F2A73"/>
    <w:rsid w:val="001F2BEE"/>
    <w:rsid w:val="001F2C90"/>
    <w:rsid w:val="002006F5"/>
    <w:rsid w:val="0020295E"/>
    <w:rsid w:val="00203CC0"/>
    <w:rsid w:val="00212393"/>
    <w:rsid w:val="00213EBE"/>
    <w:rsid w:val="002171C6"/>
    <w:rsid w:val="00217F2E"/>
    <w:rsid w:val="00220AE6"/>
    <w:rsid w:val="00221306"/>
    <w:rsid w:val="00221824"/>
    <w:rsid w:val="002245E4"/>
    <w:rsid w:val="00227833"/>
    <w:rsid w:val="00236EB5"/>
    <w:rsid w:val="00237E8A"/>
    <w:rsid w:val="0024044B"/>
    <w:rsid w:val="00240E15"/>
    <w:rsid w:val="002414FF"/>
    <w:rsid w:val="00241BCA"/>
    <w:rsid w:val="00241C8C"/>
    <w:rsid w:val="00250D0E"/>
    <w:rsid w:val="00252726"/>
    <w:rsid w:val="002534CB"/>
    <w:rsid w:val="00253EE2"/>
    <w:rsid w:val="00260F32"/>
    <w:rsid w:val="00263097"/>
    <w:rsid w:val="00267DB1"/>
    <w:rsid w:val="0027006A"/>
    <w:rsid w:val="00271C60"/>
    <w:rsid w:val="00272870"/>
    <w:rsid w:val="002730DC"/>
    <w:rsid w:val="00275ACB"/>
    <w:rsid w:val="002769BF"/>
    <w:rsid w:val="00277AC7"/>
    <w:rsid w:val="00280B2D"/>
    <w:rsid w:val="00286689"/>
    <w:rsid w:val="002878D0"/>
    <w:rsid w:val="002919B0"/>
    <w:rsid w:val="002926D0"/>
    <w:rsid w:val="0029582B"/>
    <w:rsid w:val="002963E2"/>
    <w:rsid w:val="002A0AB8"/>
    <w:rsid w:val="002A3814"/>
    <w:rsid w:val="002A4DD3"/>
    <w:rsid w:val="002A55CF"/>
    <w:rsid w:val="002B45EA"/>
    <w:rsid w:val="002C2057"/>
    <w:rsid w:val="002C358C"/>
    <w:rsid w:val="002C44FC"/>
    <w:rsid w:val="002C4BF1"/>
    <w:rsid w:val="002C5AF4"/>
    <w:rsid w:val="002C651B"/>
    <w:rsid w:val="002C6C38"/>
    <w:rsid w:val="002C764F"/>
    <w:rsid w:val="002D10DB"/>
    <w:rsid w:val="002D2043"/>
    <w:rsid w:val="002D2536"/>
    <w:rsid w:val="002D33E7"/>
    <w:rsid w:val="002D50AB"/>
    <w:rsid w:val="002D79CA"/>
    <w:rsid w:val="002E5AC6"/>
    <w:rsid w:val="002E5D57"/>
    <w:rsid w:val="002E7479"/>
    <w:rsid w:val="002F16F0"/>
    <w:rsid w:val="002F38C5"/>
    <w:rsid w:val="002F5709"/>
    <w:rsid w:val="002F5F3C"/>
    <w:rsid w:val="002F64BA"/>
    <w:rsid w:val="002F6F38"/>
    <w:rsid w:val="002F7A4C"/>
    <w:rsid w:val="00300A2C"/>
    <w:rsid w:val="00302F63"/>
    <w:rsid w:val="003072F4"/>
    <w:rsid w:val="0031059B"/>
    <w:rsid w:val="00314D60"/>
    <w:rsid w:val="003176FF"/>
    <w:rsid w:val="00321974"/>
    <w:rsid w:val="00322CD3"/>
    <w:rsid w:val="00324966"/>
    <w:rsid w:val="00324A6F"/>
    <w:rsid w:val="00326D02"/>
    <w:rsid w:val="00327439"/>
    <w:rsid w:val="00330885"/>
    <w:rsid w:val="00330C60"/>
    <w:rsid w:val="0033119D"/>
    <w:rsid w:val="003327A7"/>
    <w:rsid w:val="00333CD4"/>
    <w:rsid w:val="00335282"/>
    <w:rsid w:val="003354A1"/>
    <w:rsid w:val="00336F9F"/>
    <w:rsid w:val="00343AC6"/>
    <w:rsid w:val="00346F8F"/>
    <w:rsid w:val="00353A41"/>
    <w:rsid w:val="00360F53"/>
    <w:rsid w:val="00362AB0"/>
    <w:rsid w:val="00363F70"/>
    <w:rsid w:val="00366251"/>
    <w:rsid w:val="00366645"/>
    <w:rsid w:val="00366EBE"/>
    <w:rsid w:val="00367609"/>
    <w:rsid w:val="003678B4"/>
    <w:rsid w:val="00370F18"/>
    <w:rsid w:val="00372460"/>
    <w:rsid w:val="00380429"/>
    <w:rsid w:val="00381362"/>
    <w:rsid w:val="00381FA6"/>
    <w:rsid w:val="0038216A"/>
    <w:rsid w:val="00382A28"/>
    <w:rsid w:val="00382EED"/>
    <w:rsid w:val="00384EA4"/>
    <w:rsid w:val="0038600E"/>
    <w:rsid w:val="00386548"/>
    <w:rsid w:val="00392E64"/>
    <w:rsid w:val="00392F3F"/>
    <w:rsid w:val="00395FD8"/>
    <w:rsid w:val="003972F0"/>
    <w:rsid w:val="003A009B"/>
    <w:rsid w:val="003A3407"/>
    <w:rsid w:val="003A3922"/>
    <w:rsid w:val="003A4203"/>
    <w:rsid w:val="003B0028"/>
    <w:rsid w:val="003B37AE"/>
    <w:rsid w:val="003B4BC2"/>
    <w:rsid w:val="003B59EB"/>
    <w:rsid w:val="003B69A9"/>
    <w:rsid w:val="003B716B"/>
    <w:rsid w:val="003C6844"/>
    <w:rsid w:val="003C6AED"/>
    <w:rsid w:val="003D0903"/>
    <w:rsid w:val="003D5DFA"/>
    <w:rsid w:val="003D6C5E"/>
    <w:rsid w:val="003E13FC"/>
    <w:rsid w:val="003E3F58"/>
    <w:rsid w:val="003E3F94"/>
    <w:rsid w:val="003E4939"/>
    <w:rsid w:val="003E551C"/>
    <w:rsid w:val="003E69BF"/>
    <w:rsid w:val="003F0ABB"/>
    <w:rsid w:val="003F32C6"/>
    <w:rsid w:val="003F51A1"/>
    <w:rsid w:val="003F5745"/>
    <w:rsid w:val="003F5F5E"/>
    <w:rsid w:val="003F758C"/>
    <w:rsid w:val="00401D34"/>
    <w:rsid w:val="004023F4"/>
    <w:rsid w:val="00402FF0"/>
    <w:rsid w:val="0041227A"/>
    <w:rsid w:val="004132DA"/>
    <w:rsid w:val="00413F61"/>
    <w:rsid w:val="004172E7"/>
    <w:rsid w:val="00420F79"/>
    <w:rsid w:val="00423F8F"/>
    <w:rsid w:val="00424AAE"/>
    <w:rsid w:val="00425C3D"/>
    <w:rsid w:val="004269A6"/>
    <w:rsid w:val="00426A4D"/>
    <w:rsid w:val="004279E1"/>
    <w:rsid w:val="00427B03"/>
    <w:rsid w:val="00430405"/>
    <w:rsid w:val="00431DB1"/>
    <w:rsid w:val="004320A9"/>
    <w:rsid w:val="00433960"/>
    <w:rsid w:val="00435A56"/>
    <w:rsid w:val="00435C57"/>
    <w:rsid w:val="00435E8B"/>
    <w:rsid w:val="0043751E"/>
    <w:rsid w:val="0043781D"/>
    <w:rsid w:val="0044246E"/>
    <w:rsid w:val="00443176"/>
    <w:rsid w:val="0044445D"/>
    <w:rsid w:val="004447E5"/>
    <w:rsid w:val="00445E36"/>
    <w:rsid w:val="00447B1D"/>
    <w:rsid w:val="004502F7"/>
    <w:rsid w:val="004505AA"/>
    <w:rsid w:val="004522CA"/>
    <w:rsid w:val="004538D9"/>
    <w:rsid w:val="00460986"/>
    <w:rsid w:val="0046346B"/>
    <w:rsid w:val="00463CA9"/>
    <w:rsid w:val="00467554"/>
    <w:rsid w:val="004677A4"/>
    <w:rsid w:val="004677D6"/>
    <w:rsid w:val="004732DF"/>
    <w:rsid w:val="00477533"/>
    <w:rsid w:val="004820B8"/>
    <w:rsid w:val="00485EB4"/>
    <w:rsid w:val="00491C4B"/>
    <w:rsid w:val="00495EE5"/>
    <w:rsid w:val="004966A3"/>
    <w:rsid w:val="0049757A"/>
    <w:rsid w:val="004A00E8"/>
    <w:rsid w:val="004A3104"/>
    <w:rsid w:val="004A547A"/>
    <w:rsid w:val="004A6319"/>
    <w:rsid w:val="004A6FCC"/>
    <w:rsid w:val="004A76FB"/>
    <w:rsid w:val="004B005F"/>
    <w:rsid w:val="004B046D"/>
    <w:rsid w:val="004B0D28"/>
    <w:rsid w:val="004B512F"/>
    <w:rsid w:val="004C023A"/>
    <w:rsid w:val="004C3412"/>
    <w:rsid w:val="004C4A3F"/>
    <w:rsid w:val="004C4BA4"/>
    <w:rsid w:val="004C54F5"/>
    <w:rsid w:val="004C6119"/>
    <w:rsid w:val="004C718E"/>
    <w:rsid w:val="004D2408"/>
    <w:rsid w:val="004D36F2"/>
    <w:rsid w:val="004D5672"/>
    <w:rsid w:val="004D6268"/>
    <w:rsid w:val="004E189D"/>
    <w:rsid w:val="004E4037"/>
    <w:rsid w:val="004E57BB"/>
    <w:rsid w:val="004E5955"/>
    <w:rsid w:val="004E72CD"/>
    <w:rsid w:val="004E7594"/>
    <w:rsid w:val="004E7BE8"/>
    <w:rsid w:val="004F0215"/>
    <w:rsid w:val="004F0D6E"/>
    <w:rsid w:val="004F2828"/>
    <w:rsid w:val="0050269E"/>
    <w:rsid w:val="00506E48"/>
    <w:rsid w:val="00511304"/>
    <w:rsid w:val="0051201A"/>
    <w:rsid w:val="00512443"/>
    <w:rsid w:val="00514F48"/>
    <w:rsid w:val="00517382"/>
    <w:rsid w:val="00522991"/>
    <w:rsid w:val="00524168"/>
    <w:rsid w:val="0052571F"/>
    <w:rsid w:val="005259EA"/>
    <w:rsid w:val="00526A75"/>
    <w:rsid w:val="005274EE"/>
    <w:rsid w:val="00530C30"/>
    <w:rsid w:val="00531103"/>
    <w:rsid w:val="00531BE9"/>
    <w:rsid w:val="00532DFE"/>
    <w:rsid w:val="00534F0F"/>
    <w:rsid w:val="005407BE"/>
    <w:rsid w:val="005426E2"/>
    <w:rsid w:val="0054539A"/>
    <w:rsid w:val="005516EC"/>
    <w:rsid w:val="005545A7"/>
    <w:rsid w:val="00556F5C"/>
    <w:rsid w:val="005570F7"/>
    <w:rsid w:val="0056309F"/>
    <w:rsid w:val="00563FCF"/>
    <w:rsid w:val="00564455"/>
    <w:rsid w:val="0056787E"/>
    <w:rsid w:val="00570B9A"/>
    <w:rsid w:val="0057610F"/>
    <w:rsid w:val="0058359D"/>
    <w:rsid w:val="005847A7"/>
    <w:rsid w:val="0058532A"/>
    <w:rsid w:val="0058631E"/>
    <w:rsid w:val="0059175F"/>
    <w:rsid w:val="00597355"/>
    <w:rsid w:val="00597CDF"/>
    <w:rsid w:val="005A05DD"/>
    <w:rsid w:val="005A26F1"/>
    <w:rsid w:val="005A3C93"/>
    <w:rsid w:val="005A63D0"/>
    <w:rsid w:val="005B18B2"/>
    <w:rsid w:val="005B3372"/>
    <w:rsid w:val="005B39C9"/>
    <w:rsid w:val="005B3F18"/>
    <w:rsid w:val="005B4B48"/>
    <w:rsid w:val="005B5EB0"/>
    <w:rsid w:val="005B68CC"/>
    <w:rsid w:val="005B78FD"/>
    <w:rsid w:val="005C0398"/>
    <w:rsid w:val="005C0FE2"/>
    <w:rsid w:val="005C1442"/>
    <w:rsid w:val="005C1515"/>
    <w:rsid w:val="005D264A"/>
    <w:rsid w:val="005D5008"/>
    <w:rsid w:val="005D53B1"/>
    <w:rsid w:val="005D54EA"/>
    <w:rsid w:val="005D5DD0"/>
    <w:rsid w:val="005E2BDD"/>
    <w:rsid w:val="005F358A"/>
    <w:rsid w:val="005F3666"/>
    <w:rsid w:val="005F4950"/>
    <w:rsid w:val="005F4DBE"/>
    <w:rsid w:val="005F6684"/>
    <w:rsid w:val="005F6BBD"/>
    <w:rsid w:val="00600D5A"/>
    <w:rsid w:val="00600D86"/>
    <w:rsid w:val="00604158"/>
    <w:rsid w:val="00607E8F"/>
    <w:rsid w:val="00612A97"/>
    <w:rsid w:val="00613726"/>
    <w:rsid w:val="00615C2B"/>
    <w:rsid w:val="00617D3C"/>
    <w:rsid w:val="00621435"/>
    <w:rsid w:val="006225B2"/>
    <w:rsid w:val="00622A64"/>
    <w:rsid w:val="00623878"/>
    <w:rsid w:val="00623C4A"/>
    <w:rsid w:val="00625E50"/>
    <w:rsid w:val="006261D9"/>
    <w:rsid w:val="00626485"/>
    <w:rsid w:val="00627860"/>
    <w:rsid w:val="006307FA"/>
    <w:rsid w:val="0063251C"/>
    <w:rsid w:val="00635453"/>
    <w:rsid w:val="006408BE"/>
    <w:rsid w:val="0064123B"/>
    <w:rsid w:val="006416CA"/>
    <w:rsid w:val="00642284"/>
    <w:rsid w:val="006538E8"/>
    <w:rsid w:val="00655838"/>
    <w:rsid w:val="00657B3F"/>
    <w:rsid w:val="00660200"/>
    <w:rsid w:val="006618A7"/>
    <w:rsid w:val="00661F00"/>
    <w:rsid w:val="00663298"/>
    <w:rsid w:val="00663A8A"/>
    <w:rsid w:val="00665986"/>
    <w:rsid w:val="00667117"/>
    <w:rsid w:val="00667ADD"/>
    <w:rsid w:val="00677F94"/>
    <w:rsid w:val="00681EF4"/>
    <w:rsid w:val="006874E5"/>
    <w:rsid w:val="00693279"/>
    <w:rsid w:val="00693DD0"/>
    <w:rsid w:val="006961E4"/>
    <w:rsid w:val="00697287"/>
    <w:rsid w:val="006A0A04"/>
    <w:rsid w:val="006A0CB6"/>
    <w:rsid w:val="006A4AA5"/>
    <w:rsid w:val="006A54CA"/>
    <w:rsid w:val="006A7D1C"/>
    <w:rsid w:val="006A7F3D"/>
    <w:rsid w:val="006B3A59"/>
    <w:rsid w:val="006B3DB6"/>
    <w:rsid w:val="006B40C0"/>
    <w:rsid w:val="006B4CF7"/>
    <w:rsid w:val="006B72B4"/>
    <w:rsid w:val="006B78A5"/>
    <w:rsid w:val="006C0821"/>
    <w:rsid w:val="006C2E41"/>
    <w:rsid w:val="006C45A1"/>
    <w:rsid w:val="006D0729"/>
    <w:rsid w:val="006D0C99"/>
    <w:rsid w:val="006D1187"/>
    <w:rsid w:val="006D1659"/>
    <w:rsid w:val="006D2E5F"/>
    <w:rsid w:val="006D3EEB"/>
    <w:rsid w:val="006D65A5"/>
    <w:rsid w:val="006E59E8"/>
    <w:rsid w:val="006E5D1C"/>
    <w:rsid w:val="006F04CE"/>
    <w:rsid w:val="006F28D8"/>
    <w:rsid w:val="006F2CBA"/>
    <w:rsid w:val="006F684A"/>
    <w:rsid w:val="007040D6"/>
    <w:rsid w:val="007049DE"/>
    <w:rsid w:val="007063EA"/>
    <w:rsid w:val="0071136F"/>
    <w:rsid w:val="00715A2D"/>
    <w:rsid w:val="007161A1"/>
    <w:rsid w:val="00720FE5"/>
    <w:rsid w:val="0072146C"/>
    <w:rsid w:val="00723304"/>
    <w:rsid w:val="00724395"/>
    <w:rsid w:val="0073363B"/>
    <w:rsid w:val="00734806"/>
    <w:rsid w:val="00735AC1"/>
    <w:rsid w:val="007365E7"/>
    <w:rsid w:val="0073734A"/>
    <w:rsid w:val="00737DC7"/>
    <w:rsid w:val="00741507"/>
    <w:rsid w:val="007416EA"/>
    <w:rsid w:val="00741848"/>
    <w:rsid w:val="00742B31"/>
    <w:rsid w:val="00744434"/>
    <w:rsid w:val="0074542A"/>
    <w:rsid w:val="007459B6"/>
    <w:rsid w:val="00745FCA"/>
    <w:rsid w:val="007465DE"/>
    <w:rsid w:val="00750ADC"/>
    <w:rsid w:val="00752276"/>
    <w:rsid w:val="007526D7"/>
    <w:rsid w:val="00753B27"/>
    <w:rsid w:val="00756245"/>
    <w:rsid w:val="007615DE"/>
    <w:rsid w:val="00766521"/>
    <w:rsid w:val="00771DF1"/>
    <w:rsid w:val="00772802"/>
    <w:rsid w:val="007742A7"/>
    <w:rsid w:val="00774F22"/>
    <w:rsid w:val="00777D3A"/>
    <w:rsid w:val="00781D4D"/>
    <w:rsid w:val="00783262"/>
    <w:rsid w:val="00783B92"/>
    <w:rsid w:val="00786DBB"/>
    <w:rsid w:val="00786E30"/>
    <w:rsid w:val="007902BC"/>
    <w:rsid w:val="00790A5E"/>
    <w:rsid w:val="00790FD5"/>
    <w:rsid w:val="00796DB2"/>
    <w:rsid w:val="007A59B7"/>
    <w:rsid w:val="007A6B8B"/>
    <w:rsid w:val="007A6F16"/>
    <w:rsid w:val="007B0E75"/>
    <w:rsid w:val="007B273A"/>
    <w:rsid w:val="007B2746"/>
    <w:rsid w:val="007B294F"/>
    <w:rsid w:val="007B7024"/>
    <w:rsid w:val="007B70CD"/>
    <w:rsid w:val="007B74B2"/>
    <w:rsid w:val="007C05FD"/>
    <w:rsid w:val="007C65BE"/>
    <w:rsid w:val="007D433D"/>
    <w:rsid w:val="007D4A0D"/>
    <w:rsid w:val="007D55B4"/>
    <w:rsid w:val="007D5E59"/>
    <w:rsid w:val="007D7A43"/>
    <w:rsid w:val="007E368F"/>
    <w:rsid w:val="007E4D05"/>
    <w:rsid w:val="007E4EBB"/>
    <w:rsid w:val="007E5C14"/>
    <w:rsid w:val="007E7275"/>
    <w:rsid w:val="007F1094"/>
    <w:rsid w:val="007F737C"/>
    <w:rsid w:val="008006DA"/>
    <w:rsid w:val="00800BBD"/>
    <w:rsid w:val="00800CE8"/>
    <w:rsid w:val="0080619B"/>
    <w:rsid w:val="00807B64"/>
    <w:rsid w:val="00807EE9"/>
    <w:rsid w:val="00810ADE"/>
    <w:rsid w:val="00811C6F"/>
    <w:rsid w:val="00812067"/>
    <w:rsid w:val="008133C6"/>
    <w:rsid w:val="00814D4A"/>
    <w:rsid w:val="0081602C"/>
    <w:rsid w:val="00820FED"/>
    <w:rsid w:val="00821426"/>
    <w:rsid w:val="008221B7"/>
    <w:rsid w:val="0082276D"/>
    <w:rsid w:val="00823ED6"/>
    <w:rsid w:val="008261DA"/>
    <w:rsid w:val="008272B2"/>
    <w:rsid w:val="008351CD"/>
    <w:rsid w:val="00836AC0"/>
    <w:rsid w:val="00837431"/>
    <w:rsid w:val="008409A1"/>
    <w:rsid w:val="0084114E"/>
    <w:rsid w:val="00841614"/>
    <w:rsid w:val="0085043B"/>
    <w:rsid w:val="0085198F"/>
    <w:rsid w:val="00851E14"/>
    <w:rsid w:val="00852DAB"/>
    <w:rsid w:val="00854CD8"/>
    <w:rsid w:val="00855CDE"/>
    <w:rsid w:val="00862703"/>
    <w:rsid w:val="008631DB"/>
    <w:rsid w:val="00863ED6"/>
    <w:rsid w:val="0087179E"/>
    <w:rsid w:val="00872CD4"/>
    <w:rsid w:val="00874B74"/>
    <w:rsid w:val="00874DEF"/>
    <w:rsid w:val="008750F0"/>
    <w:rsid w:val="0087680D"/>
    <w:rsid w:val="00876C4E"/>
    <w:rsid w:val="008809BE"/>
    <w:rsid w:val="00887F68"/>
    <w:rsid w:val="00890DE4"/>
    <w:rsid w:val="008927D5"/>
    <w:rsid w:val="008946AF"/>
    <w:rsid w:val="00895ABD"/>
    <w:rsid w:val="008A0ABB"/>
    <w:rsid w:val="008A3551"/>
    <w:rsid w:val="008A7954"/>
    <w:rsid w:val="008B2FEE"/>
    <w:rsid w:val="008B6789"/>
    <w:rsid w:val="008B70DD"/>
    <w:rsid w:val="008C0821"/>
    <w:rsid w:val="008C0FEA"/>
    <w:rsid w:val="008C39D6"/>
    <w:rsid w:val="008C3B6B"/>
    <w:rsid w:val="008C560E"/>
    <w:rsid w:val="008C6F1D"/>
    <w:rsid w:val="008C7365"/>
    <w:rsid w:val="008D23C8"/>
    <w:rsid w:val="008D2DD1"/>
    <w:rsid w:val="008E0826"/>
    <w:rsid w:val="008E30F7"/>
    <w:rsid w:val="008E56B7"/>
    <w:rsid w:val="008E77A3"/>
    <w:rsid w:val="008F14B4"/>
    <w:rsid w:val="008F1F14"/>
    <w:rsid w:val="008F2D30"/>
    <w:rsid w:val="008F2E5C"/>
    <w:rsid w:val="008F382F"/>
    <w:rsid w:val="008F4BC6"/>
    <w:rsid w:val="008F5940"/>
    <w:rsid w:val="008F5D14"/>
    <w:rsid w:val="0090083D"/>
    <w:rsid w:val="009016B0"/>
    <w:rsid w:val="0090259D"/>
    <w:rsid w:val="0090302F"/>
    <w:rsid w:val="009031B4"/>
    <w:rsid w:val="00904688"/>
    <w:rsid w:val="00912D9E"/>
    <w:rsid w:val="009148FE"/>
    <w:rsid w:val="00916923"/>
    <w:rsid w:val="009202D8"/>
    <w:rsid w:val="009209C0"/>
    <w:rsid w:val="00921392"/>
    <w:rsid w:val="00923C0C"/>
    <w:rsid w:val="00932315"/>
    <w:rsid w:val="00933798"/>
    <w:rsid w:val="00934F2B"/>
    <w:rsid w:val="0093509B"/>
    <w:rsid w:val="00937AD6"/>
    <w:rsid w:val="00943A08"/>
    <w:rsid w:val="009501C5"/>
    <w:rsid w:val="0095190A"/>
    <w:rsid w:val="00952669"/>
    <w:rsid w:val="0095757E"/>
    <w:rsid w:val="0096146A"/>
    <w:rsid w:val="00963A84"/>
    <w:rsid w:val="0096673B"/>
    <w:rsid w:val="0097266D"/>
    <w:rsid w:val="00975E6E"/>
    <w:rsid w:val="00976EC1"/>
    <w:rsid w:val="0098090E"/>
    <w:rsid w:val="009817CE"/>
    <w:rsid w:val="00983D3C"/>
    <w:rsid w:val="009844C0"/>
    <w:rsid w:val="00984659"/>
    <w:rsid w:val="00992798"/>
    <w:rsid w:val="00993C3C"/>
    <w:rsid w:val="0099761B"/>
    <w:rsid w:val="009A0566"/>
    <w:rsid w:val="009A1855"/>
    <w:rsid w:val="009A2608"/>
    <w:rsid w:val="009A3087"/>
    <w:rsid w:val="009A33E5"/>
    <w:rsid w:val="009A3C47"/>
    <w:rsid w:val="009A3D23"/>
    <w:rsid w:val="009A45AE"/>
    <w:rsid w:val="009B0D49"/>
    <w:rsid w:val="009B7A5F"/>
    <w:rsid w:val="009C38B8"/>
    <w:rsid w:val="009C467C"/>
    <w:rsid w:val="009C4B51"/>
    <w:rsid w:val="009D3A63"/>
    <w:rsid w:val="009D3B73"/>
    <w:rsid w:val="009D5017"/>
    <w:rsid w:val="009D5255"/>
    <w:rsid w:val="009D764A"/>
    <w:rsid w:val="009E01DC"/>
    <w:rsid w:val="009E1F4B"/>
    <w:rsid w:val="009E3FF3"/>
    <w:rsid w:val="009E4242"/>
    <w:rsid w:val="009E4AE7"/>
    <w:rsid w:val="009E518F"/>
    <w:rsid w:val="009E620B"/>
    <w:rsid w:val="009F013C"/>
    <w:rsid w:val="009F18CF"/>
    <w:rsid w:val="009F272B"/>
    <w:rsid w:val="009F4047"/>
    <w:rsid w:val="009F420D"/>
    <w:rsid w:val="009F5A84"/>
    <w:rsid w:val="00A009D7"/>
    <w:rsid w:val="00A00FD2"/>
    <w:rsid w:val="00A044BF"/>
    <w:rsid w:val="00A07ACD"/>
    <w:rsid w:val="00A07D8F"/>
    <w:rsid w:val="00A110EB"/>
    <w:rsid w:val="00A123F9"/>
    <w:rsid w:val="00A124D0"/>
    <w:rsid w:val="00A1466B"/>
    <w:rsid w:val="00A14A5E"/>
    <w:rsid w:val="00A15F7D"/>
    <w:rsid w:val="00A16222"/>
    <w:rsid w:val="00A17844"/>
    <w:rsid w:val="00A20570"/>
    <w:rsid w:val="00A2282C"/>
    <w:rsid w:val="00A257F4"/>
    <w:rsid w:val="00A267C9"/>
    <w:rsid w:val="00A26C76"/>
    <w:rsid w:val="00A43141"/>
    <w:rsid w:val="00A45EC7"/>
    <w:rsid w:val="00A53D2C"/>
    <w:rsid w:val="00A55102"/>
    <w:rsid w:val="00A5545A"/>
    <w:rsid w:val="00A56A37"/>
    <w:rsid w:val="00A56FD5"/>
    <w:rsid w:val="00A654BF"/>
    <w:rsid w:val="00A6566A"/>
    <w:rsid w:val="00A67256"/>
    <w:rsid w:val="00A67B70"/>
    <w:rsid w:val="00A71425"/>
    <w:rsid w:val="00A718C4"/>
    <w:rsid w:val="00A76C1D"/>
    <w:rsid w:val="00A804FB"/>
    <w:rsid w:val="00A81569"/>
    <w:rsid w:val="00A82A5C"/>
    <w:rsid w:val="00A861E3"/>
    <w:rsid w:val="00AA34EC"/>
    <w:rsid w:val="00AA5DF6"/>
    <w:rsid w:val="00AB187F"/>
    <w:rsid w:val="00AB38B8"/>
    <w:rsid w:val="00AB69BC"/>
    <w:rsid w:val="00AC1A37"/>
    <w:rsid w:val="00AC5370"/>
    <w:rsid w:val="00AC66EB"/>
    <w:rsid w:val="00AC7A34"/>
    <w:rsid w:val="00AD09CF"/>
    <w:rsid w:val="00AD1D98"/>
    <w:rsid w:val="00AD1E0E"/>
    <w:rsid w:val="00AD23D2"/>
    <w:rsid w:val="00AD267D"/>
    <w:rsid w:val="00AD32BA"/>
    <w:rsid w:val="00AD4F2E"/>
    <w:rsid w:val="00AD5167"/>
    <w:rsid w:val="00AD6F48"/>
    <w:rsid w:val="00AE0F49"/>
    <w:rsid w:val="00AE1A25"/>
    <w:rsid w:val="00AE2E99"/>
    <w:rsid w:val="00AE68C8"/>
    <w:rsid w:val="00AF23CF"/>
    <w:rsid w:val="00AF35D7"/>
    <w:rsid w:val="00AF3932"/>
    <w:rsid w:val="00B03279"/>
    <w:rsid w:val="00B036FB"/>
    <w:rsid w:val="00B05E9C"/>
    <w:rsid w:val="00B11523"/>
    <w:rsid w:val="00B117E6"/>
    <w:rsid w:val="00B13829"/>
    <w:rsid w:val="00B15AAC"/>
    <w:rsid w:val="00B15F05"/>
    <w:rsid w:val="00B17C05"/>
    <w:rsid w:val="00B215CC"/>
    <w:rsid w:val="00B21AE6"/>
    <w:rsid w:val="00B22204"/>
    <w:rsid w:val="00B259C7"/>
    <w:rsid w:val="00B30E23"/>
    <w:rsid w:val="00B32DF1"/>
    <w:rsid w:val="00B3346E"/>
    <w:rsid w:val="00B37C1B"/>
    <w:rsid w:val="00B4341D"/>
    <w:rsid w:val="00B45C86"/>
    <w:rsid w:val="00B45E6F"/>
    <w:rsid w:val="00B460E5"/>
    <w:rsid w:val="00B5342B"/>
    <w:rsid w:val="00B55056"/>
    <w:rsid w:val="00B55968"/>
    <w:rsid w:val="00B5765D"/>
    <w:rsid w:val="00B57D12"/>
    <w:rsid w:val="00B61F33"/>
    <w:rsid w:val="00B634D8"/>
    <w:rsid w:val="00B634F8"/>
    <w:rsid w:val="00B6694F"/>
    <w:rsid w:val="00B702F7"/>
    <w:rsid w:val="00B71463"/>
    <w:rsid w:val="00B71A2B"/>
    <w:rsid w:val="00B7370B"/>
    <w:rsid w:val="00B74538"/>
    <w:rsid w:val="00B75056"/>
    <w:rsid w:val="00B75F22"/>
    <w:rsid w:val="00B7713D"/>
    <w:rsid w:val="00B823C7"/>
    <w:rsid w:val="00B8275B"/>
    <w:rsid w:val="00B82C21"/>
    <w:rsid w:val="00B91813"/>
    <w:rsid w:val="00B91D6A"/>
    <w:rsid w:val="00B93D04"/>
    <w:rsid w:val="00B94E78"/>
    <w:rsid w:val="00B9543D"/>
    <w:rsid w:val="00B96FE4"/>
    <w:rsid w:val="00BA0272"/>
    <w:rsid w:val="00BA197E"/>
    <w:rsid w:val="00BA231B"/>
    <w:rsid w:val="00BA540B"/>
    <w:rsid w:val="00BB1974"/>
    <w:rsid w:val="00BC3619"/>
    <w:rsid w:val="00BC4002"/>
    <w:rsid w:val="00BC7CB9"/>
    <w:rsid w:val="00BD43BB"/>
    <w:rsid w:val="00BD4A1B"/>
    <w:rsid w:val="00BD4D8B"/>
    <w:rsid w:val="00BE07B1"/>
    <w:rsid w:val="00BE40CC"/>
    <w:rsid w:val="00BE66FC"/>
    <w:rsid w:val="00BE6DD9"/>
    <w:rsid w:val="00BF03CC"/>
    <w:rsid w:val="00BF19F9"/>
    <w:rsid w:val="00BF3F24"/>
    <w:rsid w:val="00BF4200"/>
    <w:rsid w:val="00BF4788"/>
    <w:rsid w:val="00BF75C6"/>
    <w:rsid w:val="00BF79C3"/>
    <w:rsid w:val="00BF7F12"/>
    <w:rsid w:val="00C00AB2"/>
    <w:rsid w:val="00C01B70"/>
    <w:rsid w:val="00C02E38"/>
    <w:rsid w:val="00C0379B"/>
    <w:rsid w:val="00C045A7"/>
    <w:rsid w:val="00C048EB"/>
    <w:rsid w:val="00C06E08"/>
    <w:rsid w:val="00C114BC"/>
    <w:rsid w:val="00C13395"/>
    <w:rsid w:val="00C1364E"/>
    <w:rsid w:val="00C136B8"/>
    <w:rsid w:val="00C137AA"/>
    <w:rsid w:val="00C14DDC"/>
    <w:rsid w:val="00C16A0A"/>
    <w:rsid w:val="00C22B1D"/>
    <w:rsid w:val="00C25981"/>
    <w:rsid w:val="00C35FAA"/>
    <w:rsid w:val="00C360CB"/>
    <w:rsid w:val="00C4035C"/>
    <w:rsid w:val="00C40D0C"/>
    <w:rsid w:val="00C41A64"/>
    <w:rsid w:val="00C41CAD"/>
    <w:rsid w:val="00C427D1"/>
    <w:rsid w:val="00C44FCA"/>
    <w:rsid w:val="00C4566E"/>
    <w:rsid w:val="00C456C6"/>
    <w:rsid w:val="00C504F4"/>
    <w:rsid w:val="00C508E7"/>
    <w:rsid w:val="00C52E69"/>
    <w:rsid w:val="00C61A28"/>
    <w:rsid w:val="00C656EB"/>
    <w:rsid w:val="00C66EB4"/>
    <w:rsid w:val="00C71913"/>
    <w:rsid w:val="00C72560"/>
    <w:rsid w:val="00C72688"/>
    <w:rsid w:val="00C72770"/>
    <w:rsid w:val="00C755F0"/>
    <w:rsid w:val="00C81626"/>
    <w:rsid w:val="00C821DB"/>
    <w:rsid w:val="00C83F63"/>
    <w:rsid w:val="00C869C4"/>
    <w:rsid w:val="00C91C42"/>
    <w:rsid w:val="00C91DBD"/>
    <w:rsid w:val="00C94085"/>
    <w:rsid w:val="00C96B24"/>
    <w:rsid w:val="00CA0C39"/>
    <w:rsid w:val="00CA441C"/>
    <w:rsid w:val="00CA4D1D"/>
    <w:rsid w:val="00CB198B"/>
    <w:rsid w:val="00CB2DE7"/>
    <w:rsid w:val="00CB4943"/>
    <w:rsid w:val="00CB6716"/>
    <w:rsid w:val="00CB6F6A"/>
    <w:rsid w:val="00CC1037"/>
    <w:rsid w:val="00CC2425"/>
    <w:rsid w:val="00CC26F3"/>
    <w:rsid w:val="00CC34FD"/>
    <w:rsid w:val="00CC4BAC"/>
    <w:rsid w:val="00CD0753"/>
    <w:rsid w:val="00CD1315"/>
    <w:rsid w:val="00CE148C"/>
    <w:rsid w:val="00CE17D6"/>
    <w:rsid w:val="00CE4211"/>
    <w:rsid w:val="00CE4577"/>
    <w:rsid w:val="00CE6AC2"/>
    <w:rsid w:val="00CE723F"/>
    <w:rsid w:val="00CF07C9"/>
    <w:rsid w:val="00CF2EB2"/>
    <w:rsid w:val="00CF5266"/>
    <w:rsid w:val="00CF5638"/>
    <w:rsid w:val="00CF7235"/>
    <w:rsid w:val="00D00A52"/>
    <w:rsid w:val="00D03ADD"/>
    <w:rsid w:val="00D05AFD"/>
    <w:rsid w:val="00D0668C"/>
    <w:rsid w:val="00D07A4B"/>
    <w:rsid w:val="00D11703"/>
    <w:rsid w:val="00D1220D"/>
    <w:rsid w:val="00D14C93"/>
    <w:rsid w:val="00D205F6"/>
    <w:rsid w:val="00D235DB"/>
    <w:rsid w:val="00D250A0"/>
    <w:rsid w:val="00D25748"/>
    <w:rsid w:val="00D2683B"/>
    <w:rsid w:val="00D312D9"/>
    <w:rsid w:val="00D32A2C"/>
    <w:rsid w:val="00D414E7"/>
    <w:rsid w:val="00D44900"/>
    <w:rsid w:val="00D44DFB"/>
    <w:rsid w:val="00D45212"/>
    <w:rsid w:val="00D453C2"/>
    <w:rsid w:val="00D4650B"/>
    <w:rsid w:val="00D46629"/>
    <w:rsid w:val="00D5338F"/>
    <w:rsid w:val="00D546B7"/>
    <w:rsid w:val="00D55ED2"/>
    <w:rsid w:val="00D60C13"/>
    <w:rsid w:val="00D63372"/>
    <w:rsid w:val="00D82538"/>
    <w:rsid w:val="00D85929"/>
    <w:rsid w:val="00D85EC2"/>
    <w:rsid w:val="00D86F0A"/>
    <w:rsid w:val="00D9092D"/>
    <w:rsid w:val="00D94C34"/>
    <w:rsid w:val="00D96710"/>
    <w:rsid w:val="00D97A3A"/>
    <w:rsid w:val="00D97F80"/>
    <w:rsid w:val="00DA1BE5"/>
    <w:rsid w:val="00DA39B7"/>
    <w:rsid w:val="00DA6F26"/>
    <w:rsid w:val="00DB07EC"/>
    <w:rsid w:val="00DB17A7"/>
    <w:rsid w:val="00DB2219"/>
    <w:rsid w:val="00DB3803"/>
    <w:rsid w:val="00DB3F9A"/>
    <w:rsid w:val="00DB76C2"/>
    <w:rsid w:val="00DC11B0"/>
    <w:rsid w:val="00DC1B13"/>
    <w:rsid w:val="00DC237A"/>
    <w:rsid w:val="00DC2647"/>
    <w:rsid w:val="00DC2F5C"/>
    <w:rsid w:val="00DC4F08"/>
    <w:rsid w:val="00DC6E12"/>
    <w:rsid w:val="00DD2198"/>
    <w:rsid w:val="00DD35CB"/>
    <w:rsid w:val="00DD38ED"/>
    <w:rsid w:val="00DE2565"/>
    <w:rsid w:val="00DE4556"/>
    <w:rsid w:val="00DE60E1"/>
    <w:rsid w:val="00DE7D60"/>
    <w:rsid w:val="00DF0116"/>
    <w:rsid w:val="00DF7EF3"/>
    <w:rsid w:val="00E004CB"/>
    <w:rsid w:val="00E0257D"/>
    <w:rsid w:val="00E02B22"/>
    <w:rsid w:val="00E03F46"/>
    <w:rsid w:val="00E04061"/>
    <w:rsid w:val="00E04605"/>
    <w:rsid w:val="00E0671A"/>
    <w:rsid w:val="00E07168"/>
    <w:rsid w:val="00E0745C"/>
    <w:rsid w:val="00E11EC6"/>
    <w:rsid w:val="00E131BE"/>
    <w:rsid w:val="00E16400"/>
    <w:rsid w:val="00E16595"/>
    <w:rsid w:val="00E17A38"/>
    <w:rsid w:val="00E2325A"/>
    <w:rsid w:val="00E23C90"/>
    <w:rsid w:val="00E26451"/>
    <w:rsid w:val="00E26665"/>
    <w:rsid w:val="00E30304"/>
    <w:rsid w:val="00E3079E"/>
    <w:rsid w:val="00E42D0F"/>
    <w:rsid w:val="00E439CC"/>
    <w:rsid w:val="00E46154"/>
    <w:rsid w:val="00E5161D"/>
    <w:rsid w:val="00E54B96"/>
    <w:rsid w:val="00E54F3F"/>
    <w:rsid w:val="00E63845"/>
    <w:rsid w:val="00E66793"/>
    <w:rsid w:val="00E667B9"/>
    <w:rsid w:val="00E7023F"/>
    <w:rsid w:val="00E7050C"/>
    <w:rsid w:val="00E70788"/>
    <w:rsid w:val="00E72352"/>
    <w:rsid w:val="00E7342E"/>
    <w:rsid w:val="00E73DCE"/>
    <w:rsid w:val="00E759A3"/>
    <w:rsid w:val="00E778E2"/>
    <w:rsid w:val="00E8028A"/>
    <w:rsid w:val="00E83665"/>
    <w:rsid w:val="00E83EBB"/>
    <w:rsid w:val="00E8518C"/>
    <w:rsid w:val="00E8567D"/>
    <w:rsid w:val="00E9056B"/>
    <w:rsid w:val="00E921BF"/>
    <w:rsid w:val="00E97BF5"/>
    <w:rsid w:val="00EA002C"/>
    <w:rsid w:val="00EA17B1"/>
    <w:rsid w:val="00EA4950"/>
    <w:rsid w:val="00EA50EC"/>
    <w:rsid w:val="00EA5277"/>
    <w:rsid w:val="00EB2DD1"/>
    <w:rsid w:val="00EB2FC2"/>
    <w:rsid w:val="00EB6AFB"/>
    <w:rsid w:val="00EC0029"/>
    <w:rsid w:val="00EC6A5D"/>
    <w:rsid w:val="00EC7503"/>
    <w:rsid w:val="00ED134D"/>
    <w:rsid w:val="00ED209A"/>
    <w:rsid w:val="00ED486F"/>
    <w:rsid w:val="00ED4A26"/>
    <w:rsid w:val="00ED57D3"/>
    <w:rsid w:val="00ED5FBC"/>
    <w:rsid w:val="00ED69A9"/>
    <w:rsid w:val="00ED6E66"/>
    <w:rsid w:val="00ED76BF"/>
    <w:rsid w:val="00ED7A77"/>
    <w:rsid w:val="00EE45D5"/>
    <w:rsid w:val="00EE575C"/>
    <w:rsid w:val="00EE724A"/>
    <w:rsid w:val="00EF058D"/>
    <w:rsid w:val="00EF0F88"/>
    <w:rsid w:val="00EF1CF7"/>
    <w:rsid w:val="00EF2EC5"/>
    <w:rsid w:val="00EF48BF"/>
    <w:rsid w:val="00EF59C5"/>
    <w:rsid w:val="00EF6385"/>
    <w:rsid w:val="00EF66A2"/>
    <w:rsid w:val="00F01149"/>
    <w:rsid w:val="00F053E0"/>
    <w:rsid w:val="00F069B2"/>
    <w:rsid w:val="00F07FE3"/>
    <w:rsid w:val="00F16DFA"/>
    <w:rsid w:val="00F17DC7"/>
    <w:rsid w:val="00F23128"/>
    <w:rsid w:val="00F23FD1"/>
    <w:rsid w:val="00F2599A"/>
    <w:rsid w:val="00F364C5"/>
    <w:rsid w:val="00F42190"/>
    <w:rsid w:val="00F47462"/>
    <w:rsid w:val="00F51AC9"/>
    <w:rsid w:val="00F55995"/>
    <w:rsid w:val="00F55B91"/>
    <w:rsid w:val="00F578A5"/>
    <w:rsid w:val="00F57E84"/>
    <w:rsid w:val="00F65341"/>
    <w:rsid w:val="00F656A6"/>
    <w:rsid w:val="00F65748"/>
    <w:rsid w:val="00F65AE2"/>
    <w:rsid w:val="00F67B58"/>
    <w:rsid w:val="00F67DD7"/>
    <w:rsid w:val="00F76397"/>
    <w:rsid w:val="00F80136"/>
    <w:rsid w:val="00F80856"/>
    <w:rsid w:val="00F80BDE"/>
    <w:rsid w:val="00F8114F"/>
    <w:rsid w:val="00F821BB"/>
    <w:rsid w:val="00F84EAD"/>
    <w:rsid w:val="00F91845"/>
    <w:rsid w:val="00F923CE"/>
    <w:rsid w:val="00F927A1"/>
    <w:rsid w:val="00F94E00"/>
    <w:rsid w:val="00FA190F"/>
    <w:rsid w:val="00FA2A36"/>
    <w:rsid w:val="00FA3094"/>
    <w:rsid w:val="00FA5476"/>
    <w:rsid w:val="00FA5A25"/>
    <w:rsid w:val="00FA5C4C"/>
    <w:rsid w:val="00FA5D6A"/>
    <w:rsid w:val="00FB140D"/>
    <w:rsid w:val="00FB387B"/>
    <w:rsid w:val="00FB4B65"/>
    <w:rsid w:val="00FB613E"/>
    <w:rsid w:val="00FC18A1"/>
    <w:rsid w:val="00FC238D"/>
    <w:rsid w:val="00FC6AB8"/>
    <w:rsid w:val="00FC6F0D"/>
    <w:rsid w:val="00FD04BB"/>
    <w:rsid w:val="00FD06DE"/>
    <w:rsid w:val="00FD09D1"/>
    <w:rsid w:val="00FD2E9C"/>
    <w:rsid w:val="00FD4C94"/>
    <w:rsid w:val="00FD5BBD"/>
    <w:rsid w:val="00FE049E"/>
    <w:rsid w:val="00FE1B20"/>
    <w:rsid w:val="00FF3E8B"/>
    <w:rsid w:val="00FF5D90"/>
    <w:rsid w:val="00FF67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A8449"/>
  <w15:chartTrackingRefBased/>
  <w15:docId w15:val="{B0CF0BAC-96F2-2243-93DF-9C81817A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2C6"/>
    <w:pPr>
      <w:spacing w:line="276" w:lineRule="auto"/>
      <w:ind w:firstLine="284"/>
    </w:pPr>
    <w:rPr>
      <w:rFonts w:ascii="Times New Roman" w:eastAsia="Times New Roman" w:hAnsi="Times New Roman" w:cs="Times New Roman"/>
      <w:lang w:val="en-GB" w:eastAsia="da-DK"/>
    </w:rPr>
  </w:style>
  <w:style w:type="paragraph" w:styleId="Heading1">
    <w:name w:val="heading 1"/>
    <w:basedOn w:val="Normal"/>
    <w:next w:val="Normal"/>
    <w:link w:val="Heading1Char"/>
    <w:uiPriority w:val="9"/>
    <w:qFormat/>
    <w:rsid w:val="003F32C6"/>
    <w:pPr>
      <w:keepNext/>
      <w:keepLines/>
      <w:spacing w:before="240" w:line="360" w:lineRule="auto"/>
      <w:ind w:firstLine="0"/>
      <w:outlineLvl w:val="0"/>
    </w:pPr>
    <w:rPr>
      <w:rFonts w:eastAsiaTheme="majorEastAsia" w:cstheme="majorBidi"/>
      <w:bCs/>
      <w:color w:val="000000" w:themeColor="text1"/>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C6"/>
    <w:rPr>
      <w:rFonts w:ascii="Times New Roman" w:eastAsiaTheme="majorEastAsia" w:hAnsi="Times New Roman" w:cstheme="majorBidi"/>
      <w:bCs/>
      <w:color w:val="000000" w:themeColor="text1"/>
      <w:sz w:val="35"/>
      <w:szCs w:val="35"/>
      <w:lang w:val="en-GB" w:eastAsia="da-DK"/>
    </w:rPr>
  </w:style>
  <w:style w:type="paragraph" w:styleId="Header">
    <w:name w:val="header"/>
    <w:basedOn w:val="Normal"/>
    <w:link w:val="HeaderChar"/>
    <w:uiPriority w:val="99"/>
    <w:unhideWhenUsed/>
    <w:rsid w:val="00DF7EF3"/>
    <w:pPr>
      <w:tabs>
        <w:tab w:val="center" w:pos="4819"/>
        <w:tab w:val="right" w:pos="9638"/>
      </w:tabs>
    </w:pPr>
  </w:style>
  <w:style w:type="character" w:customStyle="1" w:styleId="HeaderChar">
    <w:name w:val="Header Char"/>
    <w:basedOn w:val="DefaultParagraphFont"/>
    <w:link w:val="Header"/>
    <w:uiPriority w:val="99"/>
    <w:rsid w:val="00DF7EF3"/>
  </w:style>
  <w:style w:type="paragraph" w:styleId="Footer">
    <w:name w:val="footer"/>
    <w:basedOn w:val="Normal"/>
    <w:link w:val="FooterChar"/>
    <w:uiPriority w:val="99"/>
    <w:unhideWhenUsed/>
    <w:rsid w:val="00DF7EF3"/>
    <w:pPr>
      <w:tabs>
        <w:tab w:val="center" w:pos="4819"/>
        <w:tab w:val="right" w:pos="9638"/>
      </w:tabs>
    </w:pPr>
  </w:style>
  <w:style w:type="character" w:customStyle="1" w:styleId="FooterChar">
    <w:name w:val="Footer Char"/>
    <w:basedOn w:val="DefaultParagraphFont"/>
    <w:link w:val="Footer"/>
    <w:uiPriority w:val="99"/>
    <w:rsid w:val="00DF7EF3"/>
  </w:style>
  <w:style w:type="paragraph" w:styleId="Title">
    <w:name w:val="Title"/>
    <w:basedOn w:val="Normal"/>
    <w:next w:val="Normal"/>
    <w:link w:val="TitleChar"/>
    <w:uiPriority w:val="10"/>
    <w:qFormat/>
    <w:rsid w:val="00DF7EF3"/>
    <w:rPr>
      <w:b/>
      <w:bCs/>
      <w:i/>
      <w:iCs/>
      <w:sz w:val="32"/>
      <w:szCs w:val="32"/>
    </w:rPr>
  </w:style>
  <w:style w:type="character" w:customStyle="1" w:styleId="TitleChar">
    <w:name w:val="Title Char"/>
    <w:basedOn w:val="DefaultParagraphFont"/>
    <w:link w:val="Title"/>
    <w:uiPriority w:val="10"/>
    <w:rsid w:val="00DF7EF3"/>
    <w:rPr>
      <w:rFonts w:ascii="Garamond" w:hAnsi="Garamond"/>
      <w:b/>
      <w:bCs/>
      <w:i/>
      <w:iCs/>
      <w:sz w:val="32"/>
      <w:szCs w:val="32"/>
      <w:lang w:val="en-US"/>
    </w:rPr>
  </w:style>
  <w:style w:type="paragraph" w:styleId="Subtitle">
    <w:name w:val="Subtitle"/>
    <w:basedOn w:val="Normal"/>
    <w:next w:val="Normal"/>
    <w:link w:val="SubtitleChar"/>
    <w:uiPriority w:val="11"/>
    <w:qFormat/>
    <w:rsid w:val="00DF7EF3"/>
    <w:rPr>
      <w:i/>
      <w:iCs/>
    </w:rPr>
  </w:style>
  <w:style w:type="character" w:customStyle="1" w:styleId="SubtitleChar">
    <w:name w:val="Subtitle Char"/>
    <w:basedOn w:val="DefaultParagraphFont"/>
    <w:link w:val="Subtitle"/>
    <w:uiPriority w:val="11"/>
    <w:rsid w:val="00DF7EF3"/>
    <w:rPr>
      <w:rFonts w:ascii="Garamond" w:hAnsi="Garamond"/>
      <w:i/>
      <w:iCs/>
      <w:lang w:val="en-US"/>
    </w:rPr>
  </w:style>
  <w:style w:type="table" w:styleId="TableGrid">
    <w:name w:val="Table Grid"/>
    <w:basedOn w:val="TableNormal"/>
    <w:uiPriority w:val="39"/>
    <w:rsid w:val="00FC1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18A1"/>
    <w:pPr>
      <w:spacing w:after="200"/>
    </w:pPr>
    <w:rPr>
      <w:i/>
      <w:iCs/>
      <w:color w:val="44546A" w:themeColor="text2"/>
      <w:sz w:val="18"/>
      <w:szCs w:val="18"/>
    </w:rPr>
  </w:style>
  <w:style w:type="paragraph" w:styleId="ListParagraph">
    <w:name w:val="List Paragraph"/>
    <w:basedOn w:val="Normal"/>
    <w:uiPriority w:val="34"/>
    <w:qFormat/>
    <w:rsid w:val="007526D7"/>
    <w:pPr>
      <w:ind w:left="720"/>
      <w:contextualSpacing/>
    </w:pPr>
  </w:style>
  <w:style w:type="character" w:styleId="FootnoteReference">
    <w:name w:val="footnote reference"/>
    <w:basedOn w:val="DefaultParagraphFont"/>
    <w:qFormat/>
    <w:rsid w:val="00C137AA"/>
    <w:rPr>
      <w:vertAlign w:val="superscript"/>
    </w:rPr>
  </w:style>
  <w:style w:type="paragraph" w:styleId="FootnoteText">
    <w:name w:val="footnote text"/>
    <w:basedOn w:val="Normal"/>
    <w:link w:val="FootnoteTextChar"/>
    <w:rsid w:val="00C137AA"/>
    <w:pPr>
      <w:tabs>
        <w:tab w:val="left" w:pos="3686"/>
      </w:tabs>
      <w:spacing w:after="160"/>
    </w:pPr>
    <w:rPr>
      <w:rFonts w:eastAsia="Calibri" w:cs="Tahoma"/>
      <w:color w:val="FF0000"/>
      <w:sz w:val="20"/>
      <w:szCs w:val="20"/>
    </w:rPr>
  </w:style>
  <w:style w:type="character" w:customStyle="1" w:styleId="FodnotetekstTegn">
    <w:name w:val="Fodnotetekst Tegn"/>
    <w:basedOn w:val="DefaultParagraphFont"/>
    <w:uiPriority w:val="99"/>
    <w:semiHidden/>
    <w:rsid w:val="00C137AA"/>
    <w:rPr>
      <w:rFonts w:ascii="Garamond" w:hAnsi="Garamond"/>
      <w:sz w:val="20"/>
      <w:szCs w:val="20"/>
      <w:lang w:val="en-US"/>
    </w:rPr>
  </w:style>
  <w:style w:type="character" w:customStyle="1" w:styleId="FootnoteTextChar">
    <w:name w:val="Footnote Text Char"/>
    <w:basedOn w:val="DefaultParagraphFont"/>
    <w:link w:val="FootnoteText"/>
    <w:rsid w:val="00C137AA"/>
    <w:rPr>
      <w:rFonts w:ascii="Garamond" w:eastAsia="Calibri" w:hAnsi="Garamond" w:cs="Tahoma"/>
      <w:color w:val="FF0000"/>
      <w:sz w:val="20"/>
      <w:szCs w:val="20"/>
      <w:lang w:val="en-GB"/>
    </w:rPr>
  </w:style>
  <w:style w:type="paragraph" w:styleId="NoSpacing">
    <w:name w:val="No Spacing"/>
    <w:uiPriority w:val="1"/>
    <w:qFormat/>
    <w:rsid w:val="0013533A"/>
    <w:pPr>
      <w:ind w:firstLine="284"/>
    </w:pPr>
    <w:rPr>
      <w:rFonts w:ascii="Garamond" w:hAnsi="Garamond"/>
      <w:lang w:val="en-US"/>
    </w:rPr>
  </w:style>
  <w:style w:type="paragraph" w:styleId="Quote">
    <w:name w:val="Quote"/>
    <w:basedOn w:val="Normal"/>
    <w:next w:val="Normal"/>
    <w:link w:val="QuoteChar"/>
    <w:uiPriority w:val="29"/>
    <w:qFormat/>
    <w:rsid w:val="00E97BF5"/>
    <w:pPr>
      <w:ind w:left="284"/>
    </w:pPr>
    <w:rPr>
      <w:i/>
      <w:iCs/>
      <w:color w:val="FF0000"/>
      <w:lang w:val="en-US"/>
    </w:rPr>
  </w:style>
  <w:style w:type="character" w:customStyle="1" w:styleId="QuoteChar">
    <w:name w:val="Quote Char"/>
    <w:basedOn w:val="DefaultParagraphFont"/>
    <w:link w:val="Quote"/>
    <w:uiPriority w:val="29"/>
    <w:rsid w:val="00E97BF5"/>
    <w:rPr>
      <w:rFonts w:ascii="Times New Roman" w:eastAsia="Times New Roman" w:hAnsi="Times New Roman" w:cs="Times New Roman"/>
      <w:i/>
      <w:iCs/>
      <w:color w:val="FF0000"/>
      <w:lang w:val="en-US" w:eastAsia="da-DK"/>
    </w:rPr>
  </w:style>
  <w:style w:type="character" w:styleId="Hyperlink">
    <w:name w:val="Hyperlink"/>
    <w:basedOn w:val="DefaultParagraphFont"/>
    <w:uiPriority w:val="99"/>
    <w:unhideWhenUsed/>
    <w:rsid w:val="001024C1"/>
    <w:rPr>
      <w:color w:val="0000FF"/>
      <w:u w:val="single"/>
    </w:rPr>
  </w:style>
  <w:style w:type="character" w:customStyle="1" w:styleId="UnresolvedMention1">
    <w:name w:val="Unresolved Mention1"/>
    <w:basedOn w:val="DefaultParagraphFont"/>
    <w:uiPriority w:val="99"/>
    <w:semiHidden/>
    <w:unhideWhenUsed/>
    <w:rsid w:val="00B37C1B"/>
    <w:rPr>
      <w:color w:val="605E5C"/>
      <w:shd w:val="clear" w:color="auto" w:fill="E1DFDD"/>
    </w:rPr>
  </w:style>
  <w:style w:type="character" w:styleId="FollowedHyperlink">
    <w:name w:val="FollowedHyperlink"/>
    <w:basedOn w:val="DefaultParagraphFont"/>
    <w:uiPriority w:val="99"/>
    <w:semiHidden/>
    <w:unhideWhenUsed/>
    <w:rsid w:val="0058532A"/>
    <w:rPr>
      <w:color w:val="954F72" w:themeColor="followedHyperlink"/>
      <w:u w:val="single"/>
    </w:rPr>
  </w:style>
  <w:style w:type="character" w:styleId="CommentReference">
    <w:name w:val="annotation reference"/>
    <w:basedOn w:val="DefaultParagraphFont"/>
    <w:uiPriority w:val="99"/>
    <w:semiHidden/>
    <w:unhideWhenUsed/>
    <w:rsid w:val="0033119D"/>
    <w:rPr>
      <w:sz w:val="16"/>
      <w:szCs w:val="16"/>
    </w:rPr>
  </w:style>
  <w:style w:type="paragraph" w:styleId="CommentText">
    <w:name w:val="annotation text"/>
    <w:basedOn w:val="Normal"/>
    <w:link w:val="CommentTextChar"/>
    <w:uiPriority w:val="99"/>
    <w:unhideWhenUsed/>
    <w:rsid w:val="0033119D"/>
    <w:rPr>
      <w:sz w:val="20"/>
      <w:szCs w:val="20"/>
    </w:rPr>
  </w:style>
  <w:style w:type="character" w:customStyle="1" w:styleId="CommentTextChar">
    <w:name w:val="Comment Text Char"/>
    <w:basedOn w:val="DefaultParagraphFont"/>
    <w:link w:val="CommentText"/>
    <w:uiPriority w:val="99"/>
    <w:rsid w:val="0033119D"/>
    <w:rPr>
      <w:rFonts w:ascii="Times New Roman" w:eastAsia="Times New Roman" w:hAnsi="Times New Roman" w:cs="Times New Roman"/>
      <w:sz w:val="20"/>
      <w:szCs w:val="20"/>
      <w:lang w:val="en-GB" w:eastAsia="da-DK"/>
    </w:rPr>
  </w:style>
  <w:style w:type="paragraph" w:styleId="CommentSubject">
    <w:name w:val="annotation subject"/>
    <w:basedOn w:val="CommentText"/>
    <w:next w:val="CommentText"/>
    <w:link w:val="CommentSubjectChar"/>
    <w:uiPriority w:val="99"/>
    <w:semiHidden/>
    <w:unhideWhenUsed/>
    <w:rsid w:val="0033119D"/>
    <w:rPr>
      <w:b/>
      <w:bCs/>
    </w:rPr>
  </w:style>
  <w:style w:type="character" w:customStyle="1" w:styleId="CommentSubjectChar">
    <w:name w:val="Comment Subject Char"/>
    <w:basedOn w:val="CommentTextChar"/>
    <w:link w:val="CommentSubject"/>
    <w:uiPriority w:val="99"/>
    <w:semiHidden/>
    <w:rsid w:val="0033119D"/>
    <w:rPr>
      <w:rFonts w:ascii="Times New Roman" w:eastAsia="Times New Roman" w:hAnsi="Times New Roman" w:cs="Times New Roman"/>
      <w:b/>
      <w:bCs/>
      <w:sz w:val="20"/>
      <w:szCs w:val="20"/>
      <w:lang w:val="en-GB" w:eastAsia="da-DK"/>
    </w:rPr>
  </w:style>
  <w:style w:type="paragraph" w:styleId="BalloonText">
    <w:name w:val="Balloon Text"/>
    <w:basedOn w:val="Normal"/>
    <w:link w:val="BalloonTextChar"/>
    <w:uiPriority w:val="99"/>
    <w:semiHidden/>
    <w:unhideWhenUsed/>
    <w:rsid w:val="00E80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8A"/>
    <w:rPr>
      <w:rFonts w:ascii="Segoe UI" w:eastAsia="Times New Roman" w:hAnsi="Segoe UI" w:cs="Segoe UI"/>
      <w:sz w:val="18"/>
      <w:szCs w:val="18"/>
      <w:lang w:val="en-GB" w:eastAsia="da-DK"/>
    </w:rPr>
  </w:style>
  <w:style w:type="paragraph" w:styleId="Revision">
    <w:name w:val="Revision"/>
    <w:hidden/>
    <w:uiPriority w:val="99"/>
    <w:semiHidden/>
    <w:rsid w:val="00597CDF"/>
    <w:rPr>
      <w:rFonts w:ascii="Times New Roman" w:eastAsia="Times New Roman" w:hAnsi="Times New Roman" w:cs="Times New Roman"/>
      <w:lang w:val="en-GB" w:eastAsia="da-DK"/>
    </w:rPr>
  </w:style>
  <w:style w:type="paragraph" w:customStyle="1" w:styleId="Bibliography1">
    <w:name w:val="Bibliography1"/>
    <w:basedOn w:val="Normal"/>
    <w:link w:val="BibliographyTegn"/>
    <w:rsid w:val="008133C6"/>
    <w:pPr>
      <w:spacing w:line="480" w:lineRule="auto"/>
      <w:ind w:left="720" w:hanging="720"/>
    </w:pPr>
  </w:style>
  <w:style w:type="character" w:customStyle="1" w:styleId="BibliographyTegn">
    <w:name w:val="Bibliography Tegn"/>
    <w:basedOn w:val="DefaultParagraphFont"/>
    <w:link w:val="Bibliography1"/>
    <w:rsid w:val="008133C6"/>
    <w:rPr>
      <w:rFonts w:ascii="Times New Roman" w:eastAsia="Times New Roman" w:hAnsi="Times New Roman" w:cs="Times New Roman"/>
      <w:lang w:val="en-GB" w:eastAsia="da-DK"/>
    </w:rPr>
  </w:style>
  <w:style w:type="paragraph" w:customStyle="1" w:styleId="tabel">
    <w:name w:val="tabel"/>
    <w:basedOn w:val="Normal"/>
    <w:qFormat/>
    <w:rsid w:val="004C4BA4"/>
  </w:style>
  <w:style w:type="paragraph" w:customStyle="1" w:styleId="citater">
    <w:name w:val="citater"/>
    <w:basedOn w:val="Normal"/>
    <w:qFormat/>
    <w:rsid w:val="00161112"/>
    <w:pPr>
      <w:spacing w:before="360" w:after="360"/>
      <w:ind w:left="454"/>
    </w:pPr>
    <w:rPr>
      <w:rFonts w:eastAsia="Calibri"/>
      <w:sz w:val="20"/>
      <w:szCs w:val="20"/>
      <w:lang w:val="en-US" w:eastAsia="en-US"/>
    </w:rPr>
  </w:style>
  <w:style w:type="paragraph" w:styleId="EndnoteText">
    <w:name w:val="endnote text"/>
    <w:basedOn w:val="Normal"/>
    <w:link w:val="EndnoteTextChar"/>
    <w:uiPriority w:val="99"/>
    <w:semiHidden/>
    <w:unhideWhenUsed/>
    <w:rsid w:val="005F4DBE"/>
    <w:pPr>
      <w:spacing w:line="240" w:lineRule="auto"/>
    </w:pPr>
    <w:rPr>
      <w:sz w:val="20"/>
      <w:szCs w:val="20"/>
    </w:rPr>
  </w:style>
  <w:style w:type="character" w:customStyle="1" w:styleId="EndnoteTextChar">
    <w:name w:val="Endnote Text Char"/>
    <w:basedOn w:val="DefaultParagraphFont"/>
    <w:link w:val="EndnoteText"/>
    <w:uiPriority w:val="99"/>
    <w:semiHidden/>
    <w:rsid w:val="005F4DBE"/>
    <w:rPr>
      <w:rFonts w:ascii="Times New Roman" w:eastAsia="Times New Roman" w:hAnsi="Times New Roman" w:cs="Times New Roman"/>
      <w:sz w:val="20"/>
      <w:szCs w:val="20"/>
      <w:lang w:val="en-GB" w:eastAsia="da-DK"/>
    </w:rPr>
  </w:style>
  <w:style w:type="character" w:styleId="EndnoteReference">
    <w:name w:val="endnote reference"/>
    <w:basedOn w:val="DefaultParagraphFont"/>
    <w:uiPriority w:val="99"/>
    <w:semiHidden/>
    <w:unhideWhenUsed/>
    <w:rsid w:val="005F4DBE"/>
    <w:rPr>
      <w:vertAlign w:val="superscript"/>
    </w:rPr>
  </w:style>
  <w:style w:type="table" w:customStyle="1" w:styleId="TableGrid1">
    <w:name w:val="Table Grid1"/>
    <w:basedOn w:val="TableNormal"/>
    <w:next w:val="TableGrid"/>
    <w:uiPriority w:val="39"/>
    <w:rsid w:val="00FD06DE"/>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662">
      <w:bodyDiv w:val="1"/>
      <w:marLeft w:val="0"/>
      <w:marRight w:val="0"/>
      <w:marTop w:val="0"/>
      <w:marBottom w:val="0"/>
      <w:divBdr>
        <w:top w:val="none" w:sz="0" w:space="0" w:color="auto"/>
        <w:left w:val="none" w:sz="0" w:space="0" w:color="auto"/>
        <w:bottom w:val="none" w:sz="0" w:space="0" w:color="auto"/>
        <w:right w:val="none" w:sz="0" w:space="0" w:color="auto"/>
      </w:divBdr>
    </w:div>
    <w:div w:id="127015595">
      <w:bodyDiv w:val="1"/>
      <w:marLeft w:val="0"/>
      <w:marRight w:val="0"/>
      <w:marTop w:val="0"/>
      <w:marBottom w:val="0"/>
      <w:divBdr>
        <w:top w:val="none" w:sz="0" w:space="0" w:color="auto"/>
        <w:left w:val="none" w:sz="0" w:space="0" w:color="auto"/>
        <w:bottom w:val="none" w:sz="0" w:space="0" w:color="auto"/>
        <w:right w:val="none" w:sz="0" w:space="0" w:color="auto"/>
      </w:divBdr>
      <w:divsChild>
        <w:div w:id="1179537941">
          <w:marLeft w:val="0"/>
          <w:marRight w:val="0"/>
          <w:marTop w:val="0"/>
          <w:marBottom w:val="0"/>
          <w:divBdr>
            <w:top w:val="none" w:sz="0" w:space="0" w:color="auto"/>
            <w:left w:val="none" w:sz="0" w:space="0" w:color="auto"/>
            <w:bottom w:val="none" w:sz="0" w:space="0" w:color="auto"/>
            <w:right w:val="none" w:sz="0" w:space="0" w:color="auto"/>
          </w:divBdr>
        </w:div>
      </w:divsChild>
    </w:div>
    <w:div w:id="286665149">
      <w:bodyDiv w:val="1"/>
      <w:marLeft w:val="0"/>
      <w:marRight w:val="0"/>
      <w:marTop w:val="0"/>
      <w:marBottom w:val="0"/>
      <w:divBdr>
        <w:top w:val="none" w:sz="0" w:space="0" w:color="auto"/>
        <w:left w:val="none" w:sz="0" w:space="0" w:color="auto"/>
        <w:bottom w:val="none" w:sz="0" w:space="0" w:color="auto"/>
        <w:right w:val="none" w:sz="0" w:space="0" w:color="auto"/>
      </w:divBdr>
    </w:div>
    <w:div w:id="302514466">
      <w:bodyDiv w:val="1"/>
      <w:marLeft w:val="0"/>
      <w:marRight w:val="0"/>
      <w:marTop w:val="0"/>
      <w:marBottom w:val="0"/>
      <w:divBdr>
        <w:top w:val="none" w:sz="0" w:space="0" w:color="auto"/>
        <w:left w:val="none" w:sz="0" w:space="0" w:color="auto"/>
        <w:bottom w:val="none" w:sz="0" w:space="0" w:color="auto"/>
        <w:right w:val="none" w:sz="0" w:space="0" w:color="auto"/>
      </w:divBdr>
    </w:div>
    <w:div w:id="377441058">
      <w:bodyDiv w:val="1"/>
      <w:marLeft w:val="0"/>
      <w:marRight w:val="0"/>
      <w:marTop w:val="0"/>
      <w:marBottom w:val="0"/>
      <w:divBdr>
        <w:top w:val="none" w:sz="0" w:space="0" w:color="auto"/>
        <w:left w:val="none" w:sz="0" w:space="0" w:color="auto"/>
        <w:bottom w:val="none" w:sz="0" w:space="0" w:color="auto"/>
        <w:right w:val="none" w:sz="0" w:space="0" w:color="auto"/>
      </w:divBdr>
    </w:div>
    <w:div w:id="425999620">
      <w:bodyDiv w:val="1"/>
      <w:marLeft w:val="0"/>
      <w:marRight w:val="0"/>
      <w:marTop w:val="0"/>
      <w:marBottom w:val="0"/>
      <w:divBdr>
        <w:top w:val="none" w:sz="0" w:space="0" w:color="auto"/>
        <w:left w:val="none" w:sz="0" w:space="0" w:color="auto"/>
        <w:bottom w:val="none" w:sz="0" w:space="0" w:color="auto"/>
        <w:right w:val="none" w:sz="0" w:space="0" w:color="auto"/>
      </w:divBdr>
    </w:div>
    <w:div w:id="581569809">
      <w:bodyDiv w:val="1"/>
      <w:marLeft w:val="0"/>
      <w:marRight w:val="0"/>
      <w:marTop w:val="0"/>
      <w:marBottom w:val="0"/>
      <w:divBdr>
        <w:top w:val="none" w:sz="0" w:space="0" w:color="auto"/>
        <w:left w:val="none" w:sz="0" w:space="0" w:color="auto"/>
        <w:bottom w:val="none" w:sz="0" w:space="0" w:color="auto"/>
        <w:right w:val="none" w:sz="0" w:space="0" w:color="auto"/>
      </w:divBdr>
    </w:div>
    <w:div w:id="1000886961">
      <w:bodyDiv w:val="1"/>
      <w:marLeft w:val="0"/>
      <w:marRight w:val="0"/>
      <w:marTop w:val="0"/>
      <w:marBottom w:val="0"/>
      <w:divBdr>
        <w:top w:val="none" w:sz="0" w:space="0" w:color="auto"/>
        <w:left w:val="none" w:sz="0" w:space="0" w:color="auto"/>
        <w:bottom w:val="none" w:sz="0" w:space="0" w:color="auto"/>
        <w:right w:val="none" w:sz="0" w:space="0" w:color="auto"/>
      </w:divBdr>
    </w:div>
    <w:div w:id="1080371518">
      <w:bodyDiv w:val="1"/>
      <w:marLeft w:val="0"/>
      <w:marRight w:val="0"/>
      <w:marTop w:val="0"/>
      <w:marBottom w:val="0"/>
      <w:divBdr>
        <w:top w:val="none" w:sz="0" w:space="0" w:color="auto"/>
        <w:left w:val="none" w:sz="0" w:space="0" w:color="auto"/>
        <w:bottom w:val="none" w:sz="0" w:space="0" w:color="auto"/>
        <w:right w:val="none" w:sz="0" w:space="0" w:color="auto"/>
      </w:divBdr>
    </w:div>
    <w:div w:id="1089816831">
      <w:bodyDiv w:val="1"/>
      <w:marLeft w:val="0"/>
      <w:marRight w:val="0"/>
      <w:marTop w:val="0"/>
      <w:marBottom w:val="0"/>
      <w:divBdr>
        <w:top w:val="none" w:sz="0" w:space="0" w:color="auto"/>
        <w:left w:val="none" w:sz="0" w:space="0" w:color="auto"/>
        <w:bottom w:val="none" w:sz="0" w:space="0" w:color="auto"/>
        <w:right w:val="none" w:sz="0" w:space="0" w:color="auto"/>
      </w:divBdr>
    </w:div>
    <w:div w:id="1328678757">
      <w:bodyDiv w:val="1"/>
      <w:marLeft w:val="0"/>
      <w:marRight w:val="0"/>
      <w:marTop w:val="0"/>
      <w:marBottom w:val="0"/>
      <w:divBdr>
        <w:top w:val="none" w:sz="0" w:space="0" w:color="auto"/>
        <w:left w:val="none" w:sz="0" w:space="0" w:color="auto"/>
        <w:bottom w:val="none" w:sz="0" w:space="0" w:color="auto"/>
        <w:right w:val="none" w:sz="0" w:space="0" w:color="auto"/>
      </w:divBdr>
    </w:div>
    <w:div w:id="1457484096">
      <w:bodyDiv w:val="1"/>
      <w:marLeft w:val="0"/>
      <w:marRight w:val="0"/>
      <w:marTop w:val="0"/>
      <w:marBottom w:val="0"/>
      <w:divBdr>
        <w:top w:val="none" w:sz="0" w:space="0" w:color="auto"/>
        <w:left w:val="none" w:sz="0" w:space="0" w:color="auto"/>
        <w:bottom w:val="none" w:sz="0" w:space="0" w:color="auto"/>
        <w:right w:val="none" w:sz="0" w:space="0" w:color="auto"/>
      </w:divBdr>
      <w:divsChild>
        <w:div w:id="1281642297">
          <w:marLeft w:val="0"/>
          <w:marRight w:val="0"/>
          <w:marTop w:val="0"/>
          <w:marBottom w:val="0"/>
          <w:divBdr>
            <w:top w:val="none" w:sz="0" w:space="0" w:color="auto"/>
            <w:left w:val="none" w:sz="0" w:space="0" w:color="auto"/>
            <w:bottom w:val="none" w:sz="0" w:space="0" w:color="auto"/>
            <w:right w:val="none" w:sz="0" w:space="0" w:color="auto"/>
          </w:divBdr>
          <w:divsChild>
            <w:div w:id="20935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281">
      <w:bodyDiv w:val="1"/>
      <w:marLeft w:val="0"/>
      <w:marRight w:val="0"/>
      <w:marTop w:val="0"/>
      <w:marBottom w:val="0"/>
      <w:divBdr>
        <w:top w:val="none" w:sz="0" w:space="0" w:color="auto"/>
        <w:left w:val="none" w:sz="0" w:space="0" w:color="auto"/>
        <w:bottom w:val="none" w:sz="0" w:space="0" w:color="auto"/>
        <w:right w:val="none" w:sz="0" w:space="0" w:color="auto"/>
      </w:divBdr>
    </w:div>
    <w:div w:id="1797411411">
      <w:bodyDiv w:val="1"/>
      <w:marLeft w:val="0"/>
      <w:marRight w:val="0"/>
      <w:marTop w:val="0"/>
      <w:marBottom w:val="0"/>
      <w:divBdr>
        <w:top w:val="none" w:sz="0" w:space="0" w:color="auto"/>
        <w:left w:val="none" w:sz="0" w:space="0" w:color="auto"/>
        <w:bottom w:val="none" w:sz="0" w:space="0" w:color="auto"/>
        <w:right w:val="none" w:sz="0" w:space="0" w:color="auto"/>
      </w:divBdr>
    </w:div>
    <w:div w:id="1823815926">
      <w:bodyDiv w:val="1"/>
      <w:marLeft w:val="0"/>
      <w:marRight w:val="0"/>
      <w:marTop w:val="0"/>
      <w:marBottom w:val="0"/>
      <w:divBdr>
        <w:top w:val="none" w:sz="0" w:space="0" w:color="auto"/>
        <w:left w:val="none" w:sz="0" w:space="0" w:color="auto"/>
        <w:bottom w:val="none" w:sz="0" w:space="0" w:color="auto"/>
        <w:right w:val="none" w:sz="0" w:space="0" w:color="auto"/>
      </w:divBdr>
    </w:div>
    <w:div w:id="1828594762">
      <w:bodyDiv w:val="1"/>
      <w:marLeft w:val="0"/>
      <w:marRight w:val="0"/>
      <w:marTop w:val="0"/>
      <w:marBottom w:val="0"/>
      <w:divBdr>
        <w:top w:val="none" w:sz="0" w:space="0" w:color="auto"/>
        <w:left w:val="none" w:sz="0" w:space="0" w:color="auto"/>
        <w:bottom w:val="none" w:sz="0" w:space="0" w:color="auto"/>
        <w:right w:val="none" w:sz="0" w:space="0" w:color="auto"/>
      </w:divBdr>
    </w:div>
    <w:div w:id="1911383402">
      <w:bodyDiv w:val="1"/>
      <w:marLeft w:val="0"/>
      <w:marRight w:val="0"/>
      <w:marTop w:val="0"/>
      <w:marBottom w:val="0"/>
      <w:divBdr>
        <w:top w:val="none" w:sz="0" w:space="0" w:color="auto"/>
        <w:left w:val="none" w:sz="0" w:space="0" w:color="auto"/>
        <w:bottom w:val="none" w:sz="0" w:space="0" w:color="auto"/>
        <w:right w:val="none" w:sz="0" w:space="0" w:color="auto"/>
      </w:divBdr>
      <w:divsChild>
        <w:div w:id="1875464327">
          <w:marLeft w:val="0"/>
          <w:marRight w:val="0"/>
          <w:marTop w:val="0"/>
          <w:marBottom w:val="0"/>
          <w:divBdr>
            <w:top w:val="none" w:sz="0" w:space="0" w:color="auto"/>
            <w:left w:val="none" w:sz="0" w:space="0" w:color="auto"/>
            <w:bottom w:val="none" w:sz="0" w:space="0" w:color="auto"/>
            <w:right w:val="none" w:sz="0" w:space="0" w:color="auto"/>
          </w:divBdr>
        </w:div>
      </w:divsChild>
    </w:div>
    <w:div w:id="1976985260">
      <w:bodyDiv w:val="1"/>
      <w:marLeft w:val="0"/>
      <w:marRight w:val="0"/>
      <w:marTop w:val="0"/>
      <w:marBottom w:val="0"/>
      <w:divBdr>
        <w:top w:val="none" w:sz="0" w:space="0" w:color="auto"/>
        <w:left w:val="none" w:sz="0" w:space="0" w:color="auto"/>
        <w:bottom w:val="none" w:sz="0" w:space="0" w:color="auto"/>
        <w:right w:val="none" w:sz="0" w:space="0" w:color="auto"/>
      </w:divBdr>
    </w:div>
    <w:div w:id="1987589292">
      <w:bodyDiv w:val="1"/>
      <w:marLeft w:val="0"/>
      <w:marRight w:val="0"/>
      <w:marTop w:val="0"/>
      <w:marBottom w:val="0"/>
      <w:divBdr>
        <w:top w:val="none" w:sz="0" w:space="0" w:color="auto"/>
        <w:left w:val="none" w:sz="0" w:space="0" w:color="auto"/>
        <w:bottom w:val="none" w:sz="0" w:space="0" w:color="auto"/>
        <w:right w:val="none" w:sz="0" w:space="0" w:color="auto"/>
      </w:divBdr>
    </w:div>
    <w:div w:id="2006124375">
      <w:bodyDiv w:val="1"/>
      <w:marLeft w:val="0"/>
      <w:marRight w:val="0"/>
      <w:marTop w:val="0"/>
      <w:marBottom w:val="0"/>
      <w:divBdr>
        <w:top w:val="none" w:sz="0" w:space="0" w:color="auto"/>
        <w:left w:val="none" w:sz="0" w:space="0" w:color="auto"/>
        <w:bottom w:val="none" w:sz="0" w:space="0" w:color="auto"/>
        <w:right w:val="none" w:sz="0" w:space="0" w:color="auto"/>
      </w:divBdr>
    </w:div>
    <w:div w:id="2007518343">
      <w:bodyDiv w:val="1"/>
      <w:marLeft w:val="0"/>
      <w:marRight w:val="0"/>
      <w:marTop w:val="0"/>
      <w:marBottom w:val="0"/>
      <w:divBdr>
        <w:top w:val="none" w:sz="0" w:space="0" w:color="auto"/>
        <w:left w:val="none" w:sz="0" w:space="0" w:color="auto"/>
        <w:bottom w:val="none" w:sz="0" w:space="0" w:color="auto"/>
        <w:right w:val="none" w:sz="0" w:space="0" w:color="auto"/>
      </w:divBdr>
    </w:div>
    <w:div w:id="2041004509">
      <w:bodyDiv w:val="1"/>
      <w:marLeft w:val="0"/>
      <w:marRight w:val="0"/>
      <w:marTop w:val="0"/>
      <w:marBottom w:val="0"/>
      <w:divBdr>
        <w:top w:val="none" w:sz="0" w:space="0" w:color="auto"/>
        <w:left w:val="none" w:sz="0" w:space="0" w:color="auto"/>
        <w:bottom w:val="none" w:sz="0" w:space="0" w:color="auto"/>
        <w:right w:val="none" w:sz="0" w:space="0" w:color="auto"/>
      </w:divBdr>
      <w:divsChild>
        <w:div w:id="1446073783">
          <w:marLeft w:val="0"/>
          <w:marRight w:val="0"/>
          <w:marTop w:val="0"/>
          <w:marBottom w:val="0"/>
          <w:divBdr>
            <w:top w:val="none" w:sz="0" w:space="0" w:color="auto"/>
            <w:left w:val="none" w:sz="0" w:space="0" w:color="auto"/>
            <w:bottom w:val="none" w:sz="0" w:space="0" w:color="auto"/>
            <w:right w:val="none" w:sz="0" w:space="0" w:color="auto"/>
          </w:divBdr>
          <w:divsChild>
            <w:div w:id="17768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sChild>
        <w:div w:id="223757243">
          <w:marLeft w:val="0"/>
          <w:marRight w:val="0"/>
          <w:marTop w:val="0"/>
          <w:marBottom w:val="0"/>
          <w:divBdr>
            <w:top w:val="none" w:sz="0" w:space="0" w:color="auto"/>
            <w:left w:val="none" w:sz="0" w:space="0" w:color="auto"/>
            <w:bottom w:val="none" w:sz="0" w:space="0" w:color="auto"/>
            <w:right w:val="none" w:sz="0" w:space="0" w:color="auto"/>
          </w:divBdr>
          <w:divsChild>
            <w:div w:id="18194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e@ifs.ku.dk" TargetMode="External"/><Relationship Id="rId13" Type="http://schemas.openxmlformats.org/officeDocument/2006/relationships/hyperlink" Target="https://www.norden.org/da/organisation/nordisk-ministerraad-baeredygtig-vaekst-mr-vaekst" TargetMode="External"/><Relationship Id="rId18" Type="http://schemas.openxmlformats.org/officeDocument/2006/relationships/hyperlink" Target="https://www.norden.org/da/information/om-nordisk-samarbejdskomite-n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rden.org/da/information/ministerraad" TargetMode="External"/><Relationship Id="rId17" Type="http://schemas.openxmlformats.org/officeDocument/2006/relationships/hyperlink" Target="https://www.norden.org/da/information/nordisk-ministerraads-historie" TargetMode="External"/><Relationship Id="rId2" Type="http://schemas.openxmlformats.org/officeDocument/2006/relationships/numbering" Target="numbering.xml"/><Relationship Id="rId16" Type="http://schemas.openxmlformats.org/officeDocument/2006/relationships/hyperlink" Target="https://www.norden.org/da/organisation/nordisk-ministerraad-uddannelse-og-forskning-m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dicwelfare.org/da/velfaerdspolitik/17185-2/"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norden.org/da/organisation/nordisk-ministerrad-kultur-mr-k" TargetMode="External"/><Relationship Id="rId23" Type="http://schemas.microsoft.com/office/2018/08/relationships/commentsExtensible" Target="commentsExtensible.xml"/><Relationship Id="rId10" Type="http://schemas.openxmlformats.org/officeDocument/2006/relationships/hyperlink" Target="https://orcid.org/0000-0001-5363-3301" TargetMode="External"/><Relationship Id="rId19" Type="http://schemas.openxmlformats.org/officeDocument/2006/relationships/hyperlink" Target="https://www.norden.org/da/information/om-samarbejdsministrene-mr-sam" TargetMode="External"/><Relationship Id="rId4" Type="http://schemas.openxmlformats.org/officeDocument/2006/relationships/settings" Target="settings.xml"/><Relationship Id="rId9" Type="http://schemas.openxmlformats.org/officeDocument/2006/relationships/hyperlink" Target="https://forskning.ruc.dk/da/persons/nobel" TargetMode="External"/><Relationship Id="rId14" Type="http://schemas.openxmlformats.org/officeDocument/2006/relationships/hyperlink" Target="https://www.norden.org/da/organisation/nordisk-ministerrad-fiskeri-havbrug-jordbrug-levnedsmidler-og-skovbrug-mr-fjls"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F3FEC-2729-4FEC-93EB-BD58CDB8FBB4}">
  <ds:schemaRefs>
    <ds:schemaRef ds:uri="http://schemas.openxmlformats.org/officeDocument/2006/bibliography"/>
  </ds:schemaRefs>
</ds:datastoreItem>
</file>

<file path=docMetadata/LabelInfo.xml><?xml version="1.0" encoding="utf-8"?>
<clbl:labelList xmlns:clbl="http://schemas.microsoft.com/office/2020/mipLabelMetadata">
  <clbl:label id="{6a2630e2-1ac5-455e-8217-0156b1936a76}" enabled="1" method="Standard" siteId="{a3927f91-cda1-4696-af89-8c9f1ceffa9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19</Pages>
  <Words>8559</Words>
  <Characters>47165</Characters>
  <Application>Microsoft Office Word</Application>
  <DocSecurity>4</DocSecurity>
  <Lines>736</Lines>
  <Paragraphs>223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Cosmus Nobel</dc:creator>
  <cp:keywords/>
  <dc:description/>
  <cp:lastModifiedBy>Peter Nedergaard</cp:lastModifiedBy>
  <cp:revision>2</cp:revision>
  <dcterms:created xsi:type="dcterms:W3CDTF">2023-11-15T09:17:00Z</dcterms:created>
  <dcterms:modified xsi:type="dcterms:W3CDTF">2023-11-15T09:17:00Z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id="zNBeDsLk"/&gt;&lt;style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ContentRemapped">
    <vt:lpwstr>true</vt:lpwstr>
  </property>
  <property fmtid="{D5CDD505-2E9C-101B-9397-08002B2CF9AE}" pid="5" name="MSIP_Label_6a2630e2-1ac5-455e-8217-0156b1936a76_Enabled">
    <vt:lpwstr>true</vt:lpwstr>
  </property>
  <property fmtid="{D5CDD505-2E9C-101B-9397-08002B2CF9AE}" pid="6" name="MSIP_Label_6a2630e2-1ac5-455e-8217-0156b1936a76_SetDate">
    <vt:lpwstr>2023-08-28T10:17:21Z</vt:lpwstr>
  </property>
  <property fmtid="{D5CDD505-2E9C-101B-9397-08002B2CF9AE}" pid="7" name="MSIP_Label_6a2630e2-1ac5-455e-8217-0156b1936a76_Method">
    <vt:lpwstr>Standard</vt:lpwstr>
  </property>
  <property fmtid="{D5CDD505-2E9C-101B-9397-08002B2CF9AE}" pid="8" name="MSIP_Label_6a2630e2-1ac5-455e-8217-0156b1936a76_Name">
    <vt:lpwstr>Notclass</vt:lpwstr>
  </property>
  <property fmtid="{D5CDD505-2E9C-101B-9397-08002B2CF9AE}" pid="9" name="MSIP_Label_6a2630e2-1ac5-455e-8217-0156b1936a76_SiteId">
    <vt:lpwstr>a3927f91-cda1-4696-af89-8c9f1ceffa91</vt:lpwstr>
  </property>
  <property fmtid="{D5CDD505-2E9C-101B-9397-08002B2CF9AE}" pid="10" name="MSIP_Label_6a2630e2-1ac5-455e-8217-0156b1936a76_ActionId">
    <vt:lpwstr>b15d072d-57c0-4a25-9ce4-aa484934672f</vt:lpwstr>
  </property>
  <property fmtid="{D5CDD505-2E9C-101B-9397-08002B2CF9AE}" pid="11" name="MSIP_Label_6a2630e2-1ac5-455e-8217-0156b1936a76_ContentBits">
    <vt:lpwstr>0</vt:lpwstr>
  </property>
</Properties>
</file>